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tl w:val="0"/>
        </w:rPr>
        <w:t xml:space="preserve">Authors:</w:t>
      </w:r>
    </w:p>
    <w:p w:rsidR="00000000" w:rsidDel="00000000" w:rsidP="00000000" w:rsidRDefault="00000000" w:rsidRPr="00000000" w14:paraId="00000002">
      <w:pPr>
        <w:spacing w:after="120" w:lineRule="auto"/>
        <w:rPr/>
      </w:pPr>
      <w:r w:rsidDel="00000000" w:rsidR="00000000" w:rsidRPr="00000000">
        <w:rPr>
          <w:rtl w:val="0"/>
        </w:rPr>
        <w:t xml:space="preserve">Revaz Charkviani - University of Georgia (Tbilisi), V-Dem Caucasus Regional Centre</w:t>
      </w:r>
    </w:p>
    <w:p w:rsidR="00000000" w:rsidDel="00000000" w:rsidP="00000000" w:rsidRDefault="00000000" w:rsidRPr="00000000" w14:paraId="00000003">
      <w:pPr>
        <w:pStyle w:val="Heading1"/>
        <w:spacing w:after="120" w:before="240" w:lineRule="auto"/>
        <w:rPr>
          <w:rFonts w:ascii="Times New Roman" w:cs="Times New Roman" w:eastAsia="Times New Roman" w:hAnsi="Times New Roman"/>
          <w:b w:val="0"/>
          <w:bCs w:val="0"/>
          <w:color w:val="000000"/>
          <w:sz w:val="22"/>
          <w:szCs w:val="22"/>
        </w:rPr>
      </w:pPr>
      <w:bookmarkStart w:colFirst="0" w:colLast="0" w:name="_heading=h.6te7hzw2mhg9" w:id="0"/>
      <w:bookmarkEnd w:id="0"/>
      <w:r w:rsidDel="00000000" w:rsidR="00000000" w:rsidRPr="00000000">
        <w:rPr>
          <w:rFonts w:ascii="Times New Roman" w:cs="Times New Roman" w:eastAsia="Times New Roman" w:hAnsi="Times New Roman"/>
          <w:b w:val="0"/>
          <w:bCs w:val="0"/>
          <w:color w:val="000000"/>
          <w:sz w:val="22"/>
          <w:szCs w:val="22"/>
          <w:rtl w:val="0"/>
        </w:rPr>
        <w:t xml:space="preserve">Kartlos Karumidze - University of Georgia (Tbilisi), Youth and Social Research Centre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lineRule="auto"/>
        <w:jc w:val="center"/>
        <w:rPr/>
      </w:pPr>
      <w:r w:rsidDel="00000000" w:rsidR="00000000" w:rsidRPr="00000000">
        <w:rPr>
          <w:b w:val="1"/>
          <w:bCs w:val="1"/>
          <w:sz w:val="28"/>
          <w:szCs w:val="28"/>
          <w:rtl w:val="0"/>
        </w:rPr>
        <w:t xml:space="preserve">Youth Work as a Tool for Social Inclusion and Democratic Engagement: A Comparative Analysis of Estonia and Georgia</w:t>
      </w:r>
      <w:r w:rsidDel="00000000" w:rsidR="00000000" w:rsidRPr="00000000">
        <w:rPr>
          <w:rtl w:val="0"/>
        </w:rPr>
      </w:r>
    </w:p>
    <w:p w:rsidR="00000000" w:rsidDel="00000000" w:rsidP="00000000" w:rsidRDefault="00000000" w:rsidRPr="00000000" w14:paraId="00000006">
      <w:pPr>
        <w:pStyle w:val="Heading1"/>
        <w:spacing w:after="120" w:before="240" w:lineRule="auto"/>
        <w:rPr>
          <w:rFonts w:ascii="Times New Roman" w:cs="Times New Roman" w:eastAsia="Times New Roman" w:hAnsi="Times New Roman"/>
          <w:b w:val="0"/>
          <w:bCs w:val="0"/>
          <w:color w:val="000000"/>
          <w:sz w:val="22"/>
          <w:szCs w:val="22"/>
        </w:rPr>
      </w:pPr>
      <w:r w:rsidDel="00000000" w:rsidR="00000000" w:rsidRPr="00000000">
        <w:rPr>
          <w:rtl w:val="0"/>
        </w:rPr>
      </w:r>
    </w:p>
    <w:p w:rsidR="00000000" w:rsidDel="00000000" w:rsidP="00000000" w:rsidRDefault="00000000" w:rsidRPr="00000000" w14:paraId="00000007">
      <w:pPr>
        <w:pStyle w:val="Heading1"/>
        <w:spacing w:after="120" w:before="240" w:lineRule="auto"/>
        <w:rPr/>
      </w:pPr>
      <w:r w:rsidDel="00000000" w:rsidR="00000000" w:rsidRPr="00000000">
        <w:rPr>
          <w:rtl w:val="0"/>
        </w:rPr>
        <w:t xml:space="preserve">Abstract</w:t>
      </w:r>
    </w:p>
    <w:p w:rsidR="00000000" w:rsidDel="00000000" w:rsidP="00000000" w:rsidRDefault="00000000" w:rsidRPr="00000000" w14:paraId="00000008">
      <w:pPr>
        <w:spacing w:after="120" w:lineRule="auto"/>
        <w:ind w:firstLine="432"/>
        <w:rPr/>
      </w:pPr>
      <w:r w:rsidDel="00000000" w:rsidR="00000000" w:rsidRPr="00000000">
        <w:rPr>
          <w:rtl w:val="0"/>
        </w:rPr>
        <w:t xml:space="preserve">Youth work systems across Europe differ substantially in their institutional design, yet the consequences of this variation for social inclusion and democratic engagement remain insufficiently understood, particularly in post-communist contexts. This article addresses that gap through a comparative analysis of Estonia and Georgia, two countries that share a Soviet institutional inheritance but have followed markedly different post-independence youth policy trajectories. Drawing on indicators from the Varieties of Democracy (V-Dem) dataset and the Quality of Governance (QoG) Standard Time-Series dataset, together with national policy documents and sixteen qualitative records collected in 2024 in Estonia and Georgia, the article finds that Estonia’s legislatively anchored and municipally administered system creates stable participation pathways and professionalized provision, but still struggles with uneven recognition and access. Evidence from Estonia further suggests that youth work may foster emancipative values consistent with Christian Welzel’s Evolutionary Emancipation Theory (EET)—including personal autonomy, personal choice, equality, and freedom of voice. The findings also indicate that youth work may function as an additional source of intellectual resources beyond formal education and that its voluntary, choice-based, and relatively egalitarian environment may itself serve as an emancipative mechanism. Georgia’s donor-supported and civil society-based model produces culturally embedded and responsive practices, especially in minority and rural communities, but its democratic effects remain structurally fragile because provision is often project-based, discontinuous, and weakly linked to public institutions. The article argues that youth work matters for democracy as a meso-level civic infrastructure: it connects young people’s everyday learning environments to wider patterns of social inclusion, civic agency, and institutional trust. The comparison suggests that post-communist democracies need hybrid youth work architectures that combine statutory anchoring and municipal responsibility with grassroots responsiveness, culturally sensitive outreach, and meaningful participation in practice.</w:t>
      </w:r>
    </w:p>
    <w:p w:rsidR="00000000" w:rsidDel="00000000" w:rsidP="00000000" w:rsidRDefault="00000000" w:rsidRPr="00000000" w14:paraId="00000009">
      <w:pPr>
        <w:pStyle w:val="Heading1"/>
        <w:spacing w:after="120" w:before="240" w:lineRule="auto"/>
        <w:rPr/>
      </w:pPr>
      <w:r w:rsidDel="00000000" w:rsidR="00000000" w:rsidRPr="00000000">
        <w:rPr>
          <w:rtl w:val="0"/>
        </w:rPr>
        <w:t xml:space="preserve">1. Introduction</w:t>
      </w:r>
    </w:p>
    <w:p w:rsidR="00000000" w:rsidDel="00000000" w:rsidP="00000000" w:rsidRDefault="00000000" w:rsidRPr="00000000" w14:paraId="0000000A">
      <w:pPr>
        <w:spacing w:after="120" w:lineRule="auto"/>
        <w:ind w:firstLine="432"/>
        <w:rPr/>
      </w:pPr>
      <w:r w:rsidDel="00000000" w:rsidR="00000000" w:rsidRPr="00000000">
        <w:rPr>
          <w:rtl w:val="0"/>
        </w:rPr>
        <w:t xml:space="preserve">Democratic engagement depends not only on elections, constitutions, and formal institutions, but also on the social and institutional infrastructures through which citizens develop civic agency, political voice, and participatory capacity. A substantial body of research has shown that democratic stability and quality are shaped by the values, skills, resources, and expectations that citizens bring into public life (Inglehart &amp; Welzel, 2005; Welzel, 2013, 2021). Yet democracy research has paid less sustained attention to the meso-level arenas in which democratic dispositions are learned before they appear as voting, protest, association, or other visible forms of participation.</w:t>
      </w:r>
    </w:p>
    <w:p w:rsidR="00000000" w:rsidDel="00000000" w:rsidP="00000000" w:rsidRDefault="00000000" w:rsidRPr="00000000" w14:paraId="0000000B">
      <w:pPr>
        <w:spacing w:after="120" w:lineRule="auto"/>
        <w:ind w:firstLine="432"/>
        <w:rPr/>
      </w:pPr>
      <w:r w:rsidDel="00000000" w:rsidR="00000000" w:rsidRPr="00000000">
        <w:rPr>
          <w:rtl w:val="0"/>
        </w:rPr>
        <w:t xml:space="preserve">One such arena is youth work. Across Europe, youth work is commonly understood as a voluntary and non-formal educational field conducted through youth centres, clubs, camps, organisations, programmes, and community-based activities. Its aims extend beyond leisure provision to include personal development, empowerment, inclusion, participation, and democratic citizenship (Council of Europe [CoE], 2017; Dunne et al., 2014; European Union [EU], 2009; Schild et al., 2017). In Charkviani’s (2024) formulation, youth work is an out-of-formal-education service of non-formal learning conducted by youth workers in youth centres, youth camps, youth clubs, youth programmes, and youth NGOs, covering educational, social, cultural, sport, and civic activities.</w:t>
      </w:r>
    </w:p>
    <w:p w:rsidR="00000000" w:rsidDel="00000000" w:rsidP="00000000" w:rsidRDefault="00000000" w:rsidRPr="00000000" w14:paraId="0000000C">
      <w:pPr>
        <w:spacing w:after="120" w:lineRule="auto"/>
        <w:ind w:firstLine="432"/>
        <w:rPr/>
      </w:pPr>
      <w:r w:rsidDel="00000000" w:rsidR="00000000" w:rsidRPr="00000000">
        <w:rPr>
          <w:rtl w:val="0"/>
        </w:rPr>
        <w:t xml:space="preserve">Despite its relevance to democratic learning, youth work has rarely been theorised as an institutional mechanism of democratic engagement. It is more often treated as a sectoral concern within youth policy, non-formal education, social inclusion, or employability. That treatment is valuable, but incomplete. If young people learn autonomy, dialogue, cooperation, collective responsibility, and civic voice through recurring institutional encounters, youth work belongs within the broader analytical field of democratic development. This is particularly important in post-Soviet contexts, where formal democratic institutions may coexist with weak everyday experiences of participation, low trust, and uneven access to decision-making.</w:t>
      </w:r>
    </w:p>
    <w:p w:rsidR="00000000" w:rsidDel="00000000" w:rsidP="00000000" w:rsidRDefault="00000000" w:rsidRPr="00000000" w14:paraId="0000000D">
      <w:pPr>
        <w:spacing w:after="120" w:lineRule="auto"/>
        <w:ind w:firstLine="432"/>
        <w:rPr/>
      </w:pPr>
      <w:r w:rsidDel="00000000" w:rsidR="00000000" w:rsidRPr="00000000">
        <w:rPr>
          <w:rtl w:val="0"/>
        </w:rPr>
        <w:t xml:space="preserve">Estonia and Georgia offer an analytically useful comparison because they share a Soviet institutional inheritance while diverging sharply in their post-independence trajectories. Estonia’s accession to the European Union in 2004 accelerated the formalisation of its youth policy, producing a legislatively anchored, municipally administered system supported by recognised occupational standards, youth centres, youth councils, and higher education pathways for youth workers (Williamson, 2017; Youth Wiki, 2023). Georgia, by contrast, has developed a more fragmented field in which youth-related civic learning and inclusion are often sustained through schools, local CSOs, international donors, and project-based initiatives rather than through a fully institutionalised statutory youth work system (Petrivska, 2017; Europe Goes Local, 2024).</w:t>
      </w:r>
    </w:p>
    <w:p w:rsidR="00000000" w:rsidDel="00000000" w:rsidP="00000000" w:rsidRDefault="00000000" w:rsidRPr="00000000" w14:paraId="0000000E">
      <w:pPr>
        <w:spacing w:after="120" w:lineRule="auto"/>
        <w:ind w:firstLine="432"/>
        <w:rPr/>
      </w:pPr>
      <w:r w:rsidDel="00000000" w:rsidR="00000000" w:rsidRPr="00000000">
        <w:rPr>
          <w:rtl w:val="0"/>
        </w:rPr>
        <w:t xml:space="preserve">The comparison is not intended to rank the two countries along a simple scale from successful to unsuccessful youth work. Rather, it asks how different institutional architectures generate different democratic strengths and vulnerabilities. Estonia’s model shows what formal anchoring can provide: continuity, professional status, and structured channels for youth voice. Georgia’s model shows what civil society can provide under weaker public anchoring: responsiveness, trust-building, and targeted work with communities that formal systems may not reach well. The central question is whether these strengths can become durable and widely accessible.</w:t>
      </w:r>
    </w:p>
    <w:p w:rsidR="00000000" w:rsidDel="00000000" w:rsidP="00000000" w:rsidRDefault="00000000" w:rsidRPr="00000000" w14:paraId="0000000F">
      <w:pPr>
        <w:spacing w:after="120" w:lineRule="auto"/>
        <w:ind w:firstLine="432"/>
        <w:rPr/>
      </w:pPr>
      <w:r w:rsidDel="00000000" w:rsidR="00000000" w:rsidRPr="00000000">
        <w:rPr>
          <w:rtl w:val="0"/>
        </w:rPr>
        <w:t xml:space="preserve">This article builds on Charkviani’s (2024) master’s thesis on youth work, emancipative values, and liberal-democratic development in post-Soviet Estonia, while extending the argument through a comparative analysis of Estonia and Georgia and through new Georgian field material. The thesis found that youth work in Estonia may foster emancipative values through mechanisms consistent with Welzel’s Evolutionary Emancipation Theory (EET), including awareness of freedoms and rights, independent thinking, and the development of Intellectual Resources. It also suggested two refinements: youth work may operate as an additional source of resources beyond formal education, and its voluntary, choice-based, and relatively egalitarian environment may itself function as an emancipative mechanism. The Georgian material allows these claims to be tested against a more fragile, donor-supported, and locally uneven institutional setting.</w:t>
      </w:r>
    </w:p>
    <w:p w:rsidR="00000000" w:rsidDel="00000000" w:rsidP="00000000" w:rsidRDefault="00000000" w:rsidRPr="00000000" w14:paraId="00000010">
      <w:pPr>
        <w:spacing w:after="120" w:lineRule="auto"/>
        <w:ind w:firstLine="432"/>
        <w:rPr/>
      </w:pPr>
      <w:r w:rsidDel="00000000" w:rsidR="00000000" w:rsidRPr="00000000">
        <w:rPr>
          <w:rtl w:val="0"/>
        </w:rPr>
        <w:t xml:space="preserve">The Georgian evidence points to a crucial extension of this argument. Civic education teachers and CSO representatives repeatedly emphasised that young people respond strongly to practical, participatory, and community-oriented learning, but that the institutional conditions for such learning are uneven. One teacher put the problem succinctly: "You cannot effectively teach citizenship without practice." In another municipality, a teacher described how students actively used the opportunities available to them: "when opportunities arise, students make full use of them and actively participate in all projects." These statements do not show an absence of democratic interest among young people. They show a shortage of stable, well-resourced, and institutionally linked opportunities through which that interest can be converted into durable civic agency.</w:t>
      </w:r>
    </w:p>
    <w:p w:rsidR="00000000" w:rsidDel="00000000" w:rsidP="00000000" w:rsidRDefault="00000000" w:rsidRPr="00000000" w14:paraId="00000011">
      <w:pPr>
        <w:spacing w:after="120" w:lineRule="auto"/>
        <w:ind w:firstLine="432"/>
        <w:rPr/>
      </w:pPr>
      <w:r w:rsidDel="00000000" w:rsidR="00000000" w:rsidRPr="00000000">
        <w:rPr>
          <w:rtl w:val="0"/>
        </w:rPr>
        <w:t xml:space="preserve">The article therefore argues that youth work systems shape democratic engagement through two linked mechanisms. First, they structure pathways of participation by creating more or less stable opportunities for young people to engage in civic, communal, and dialogical practices. Second, they may foster resources and orientations associated with democratic agency, including autonomy, voice, equality, recognition, trust, and practical civic competence. Youth work matters for democracy not simply because it may increase participation, but because it can provide institutional spaces in which young people experience democratic forms of interaction and develop emancipative and democratic values.</w:t>
      </w:r>
    </w:p>
    <w:p w:rsidR="00000000" w:rsidDel="00000000" w:rsidP="00000000" w:rsidRDefault="00000000" w:rsidRPr="00000000" w14:paraId="00000012">
      <w:pPr>
        <w:spacing w:after="120" w:lineRule="auto"/>
        <w:ind w:firstLine="432"/>
        <w:rPr/>
      </w:pPr>
      <w:r w:rsidDel="00000000" w:rsidR="00000000" w:rsidRPr="00000000">
        <w:rPr>
          <w:rtl w:val="0"/>
        </w:rPr>
        <w:t xml:space="preserve">The article makes three contributions. First, it contributes to comparative democracy research by conceptualising youth work as a meso-level democratic infrastructure rather than only as a youth policy instrument. Second, it contributes to debates around EET by exploring whether non-formal institutional arenas can support the development of emancipative values and whether the relevant resource base should include emotional and relational capacities as well as intellectual ones. Third, it contributes to scholarship on post-Soviet democratic development by comparing two divergent institutional models and examining how they shape inclusion, participation, and the durability of civic engagement.</w:t>
      </w:r>
    </w:p>
    <w:p w:rsidR="00000000" w:rsidDel="00000000" w:rsidP="00000000" w:rsidRDefault="00000000" w:rsidRPr="00000000" w14:paraId="00000013">
      <w:pPr>
        <w:spacing w:after="120" w:lineRule="auto"/>
        <w:ind w:firstLine="432"/>
        <w:rPr/>
      </w:pPr>
      <w:r w:rsidDel="00000000" w:rsidR="00000000" w:rsidRPr="00000000">
        <w:rPr>
          <w:rtl w:val="0"/>
        </w:rPr>
        <w:t xml:space="preserve">The guiding research question is: How do different youth work systems shape democratic engagement, and through what mechanisms do they do so in post-Soviet contexts? To answer this question, the article combines comparative institutional analysis, policy analysis, qualitative interview material, and contextual indicators from the V-Dem and QoG datasets.</w:t>
      </w:r>
    </w:p>
    <w:p w:rsidR="00000000" w:rsidDel="00000000" w:rsidP="00000000" w:rsidRDefault="00000000" w:rsidRPr="00000000" w14:paraId="00000014">
      <w:pPr>
        <w:spacing w:after="120" w:lineRule="auto"/>
        <w:ind w:firstLine="432"/>
        <w:rPr/>
      </w:pPr>
      <w:r w:rsidDel="00000000" w:rsidR="00000000" w:rsidRPr="00000000">
        <w:rPr>
          <w:rtl w:val="0"/>
        </w:rPr>
        <w:t xml:space="preserve">The article proceeds as follows. The next section reviews the literature on youth work, post-Soviet youth policy, democratic engagement, and emancipative values. The following section develops the conceptual framework, defining youth work as democratic infrastructure and specifying its mechanisms. The methodology section then explains the comparative design, indicator selection, document analysis, and interview analysis. The empirical sections present the macro-level democratic and governance context, followed by comparative findings from Estonia and Georgia. The article concludes by discussing the implications for youth policy, democratic resilience, and the study of post-Soviet civic development.</w:t>
      </w:r>
    </w:p>
    <w:p w:rsidR="00000000" w:rsidDel="00000000" w:rsidP="00000000" w:rsidRDefault="00000000" w:rsidRPr="00000000" w14:paraId="00000015">
      <w:pPr>
        <w:pStyle w:val="Heading1"/>
        <w:spacing w:after="120" w:before="240" w:lineRule="auto"/>
        <w:rPr/>
      </w:pPr>
      <w:r w:rsidDel="00000000" w:rsidR="00000000" w:rsidRPr="00000000">
        <w:rPr>
          <w:rtl w:val="0"/>
        </w:rPr>
        <w:t xml:space="preserve">2. Literature Review and Conceptual Framework</w:t>
      </w:r>
    </w:p>
    <w:p w:rsidR="00000000" w:rsidDel="00000000" w:rsidP="00000000" w:rsidRDefault="00000000" w:rsidRPr="00000000" w14:paraId="00000016">
      <w:pPr>
        <w:pStyle w:val="Heading2"/>
        <w:spacing w:after="80" w:lineRule="auto"/>
        <w:rPr/>
      </w:pPr>
      <w:r w:rsidDel="00000000" w:rsidR="00000000" w:rsidRPr="00000000">
        <w:rPr>
          <w:rtl w:val="0"/>
        </w:rPr>
        <w:t xml:space="preserve">2.1 Youth Work, Democratic Learning, and Post-Soviet Contexts</w:t>
      </w:r>
    </w:p>
    <w:p w:rsidR="00000000" w:rsidDel="00000000" w:rsidP="00000000" w:rsidRDefault="00000000" w:rsidRPr="00000000" w14:paraId="00000017">
      <w:pPr>
        <w:spacing w:after="120" w:lineRule="auto"/>
        <w:ind w:firstLine="432"/>
        <w:rPr/>
      </w:pPr>
      <w:r w:rsidDel="00000000" w:rsidR="00000000" w:rsidRPr="00000000">
        <w:rPr>
          <w:rtl w:val="0"/>
        </w:rPr>
        <w:t xml:space="preserve">Youth work occupies an unusual position in the broader landscape of social and educational policy. It is neither fully formal education nor simply leisure provision. It is a field of non-formal, voluntary, and relational practice aimed at supporting the personal, social, cultural, and civic development of young people. Across European policy and research traditions, youth work is associated with empowerment, emancipation, participation, social cohesion, and democratic citizenship (CoE, 2017; Dunne et al., 2014; EU, 2009; Schild et al., 2017). These aims make youth work directly relevant to democratic development, even when the sector is not described in those terms.</w:t>
      </w:r>
    </w:p>
    <w:p w:rsidR="00000000" w:rsidDel="00000000" w:rsidP="00000000" w:rsidRDefault="00000000" w:rsidRPr="00000000" w14:paraId="00000018">
      <w:pPr>
        <w:spacing w:after="120" w:lineRule="auto"/>
        <w:ind w:firstLine="432"/>
        <w:rPr/>
      </w:pPr>
      <w:r w:rsidDel="00000000" w:rsidR="00000000" w:rsidRPr="00000000">
        <w:rPr>
          <w:rtl w:val="0"/>
        </w:rPr>
        <w:t xml:space="preserve">The academic literature has tended to approach youth work through the lenses of social inclusion, youth development, non-formal learning, employability, and personal wellbeing. Those perspectives are important, but they do not fully capture the democratic significance of youth work. If democratic engagement requires not only information about institutions but also opportunities to practise voice, deliberation, cooperation, and collective responsibility, youth work can be understood as a site of democratic socialisation. This perspective is consistent with scholarship on democratic learning, which emphasises practice, judgement, and lived participation rather than instruction alone (Biesta, 2011; Westheimer &amp; Kahne, 2004).</w:t>
      </w:r>
    </w:p>
    <w:p w:rsidR="00000000" w:rsidDel="00000000" w:rsidP="00000000" w:rsidRDefault="00000000" w:rsidRPr="00000000" w14:paraId="00000019">
      <w:pPr>
        <w:spacing w:after="120" w:lineRule="auto"/>
        <w:ind w:firstLine="432"/>
        <w:rPr/>
      </w:pPr>
      <w:r w:rsidDel="00000000" w:rsidR="00000000" w:rsidRPr="00000000">
        <w:rPr>
          <w:rtl w:val="0"/>
        </w:rPr>
        <w:t xml:space="preserve">Post-Soviet contexts make this question especially important. Youth policy systems in Eastern Europe and the Caucasus have often been described as rich in strategic language but weak in implementation capacity (Petrivska, 2017; Williamson, 2017). Formal policy documents may recognise youth participation, social inclusion, and active citizenship, yet the institutions needed to deliver these goals consistently are often underdeveloped. This gap between normative aspiration and institutional capacity is central to the comparison between Estonia and Georgia.</w:t>
      </w:r>
    </w:p>
    <w:p w:rsidR="00000000" w:rsidDel="00000000" w:rsidP="00000000" w:rsidRDefault="00000000" w:rsidRPr="00000000" w14:paraId="0000001A">
      <w:pPr>
        <w:pStyle w:val="Heading2"/>
        <w:spacing w:after="80" w:lineRule="auto"/>
        <w:rPr/>
      </w:pPr>
      <w:r w:rsidDel="00000000" w:rsidR="00000000" w:rsidRPr="00000000">
        <w:rPr>
          <w:rtl w:val="0"/>
        </w:rPr>
        <w:t xml:space="preserve">2.2 The Estonian Youth Work System</w:t>
      </w:r>
    </w:p>
    <w:p w:rsidR="00000000" w:rsidDel="00000000" w:rsidP="00000000" w:rsidRDefault="00000000" w:rsidRPr="00000000" w14:paraId="0000001B">
      <w:pPr>
        <w:spacing w:after="120" w:lineRule="auto"/>
        <w:ind w:firstLine="432"/>
        <w:rPr/>
      </w:pPr>
      <w:r w:rsidDel="00000000" w:rsidR="00000000" w:rsidRPr="00000000">
        <w:rPr>
          <w:rtl w:val="0"/>
        </w:rPr>
        <w:t xml:space="preserve">Estonia represents one of the more formally institutionalised post-Soviet youth work systems. The Youth Work Act provides a legal definition of youth work and establishes the basis for municipal responsibility. Youth work is connected to the education system, supported by national development planning, youth centres, hobby education, youth organisations, youth councils, and professional qualification standards. The Youth Sector Development Plan 2021-2035 frames youth work as a field contributing to young people’s self-realisation, participation, inclusion, and wellbeing (Youth Wiki, 2023).</w:t>
      </w:r>
    </w:p>
    <w:p w:rsidR="00000000" w:rsidDel="00000000" w:rsidP="00000000" w:rsidRDefault="00000000" w:rsidRPr="00000000" w14:paraId="0000001C">
      <w:pPr>
        <w:spacing w:after="120" w:lineRule="auto"/>
        <w:ind w:firstLine="432"/>
        <w:rPr/>
      </w:pPr>
      <w:r w:rsidDel="00000000" w:rsidR="00000000" w:rsidRPr="00000000">
        <w:rPr>
          <w:rtl w:val="0"/>
        </w:rPr>
        <w:t xml:space="preserve">The interview material confirms the importance of this formal anchoring, but also reveals its limits. Estonian respondents repeatedly described youth work as widely available, professionally recognised, and linked to municipal responsibilities. One respondent explained that "we deliberately position youth work as part of the education system, not just social work." Another described youth centres as a "third safe place," distinct from home and school, where young people choose to spend time and build relationships with trusted adults. These descriptions show that institutionalisation is not only legal. It creates recurring social environments in which young people can exercise choice, develop confidence, and encounter participation as a normal part of everyday life.</w:t>
      </w:r>
    </w:p>
    <w:p w:rsidR="00000000" w:rsidDel="00000000" w:rsidP="00000000" w:rsidRDefault="00000000" w:rsidRPr="00000000" w14:paraId="0000001D">
      <w:pPr>
        <w:spacing w:after="120" w:lineRule="auto"/>
        <w:ind w:firstLine="432"/>
        <w:rPr/>
      </w:pPr>
      <w:r w:rsidDel="00000000" w:rsidR="00000000" w:rsidRPr="00000000">
        <w:rPr>
          <w:rtl w:val="0"/>
        </w:rPr>
        <w:t xml:space="preserve">At the same time, respondents also identified persistent problems. Youth work is often experienced by young people and families without being recognised as youth work. As one Estonian respondent noted, people would feel the difference if youth work disappeared, but "society doesn’t acknowledge this." Municipal variation, uneven funding, rural limitations, and incomplete public recognition remain important constraints. Estonia therefore illustrates an institutionalised system whose democratic potential is real, but not automatically universal or equally distributed.</w:t>
      </w:r>
    </w:p>
    <w:p w:rsidR="00000000" w:rsidDel="00000000" w:rsidP="00000000" w:rsidRDefault="00000000" w:rsidRPr="00000000" w14:paraId="0000001E">
      <w:pPr>
        <w:pStyle w:val="Heading2"/>
        <w:spacing w:after="80" w:lineRule="auto"/>
        <w:rPr/>
      </w:pPr>
      <w:r w:rsidDel="00000000" w:rsidR="00000000" w:rsidRPr="00000000">
        <w:rPr>
          <w:rtl w:val="0"/>
        </w:rPr>
        <w:t xml:space="preserve">2.3 The Georgian Youth Work and Civic Engagement Field</w:t>
      </w:r>
    </w:p>
    <w:p w:rsidR="00000000" w:rsidDel="00000000" w:rsidP="00000000" w:rsidRDefault="00000000" w:rsidRPr="00000000" w14:paraId="0000001F">
      <w:pPr>
        <w:spacing w:after="120" w:lineRule="auto"/>
        <w:ind w:firstLine="432"/>
        <w:rPr/>
      </w:pPr>
      <w:r w:rsidDel="00000000" w:rsidR="00000000" w:rsidRPr="00000000">
        <w:rPr>
          <w:rtl w:val="0"/>
        </w:rPr>
        <w:t xml:space="preserve">Georgia presents a different institutional pattern. National policy documents, including the National Youth Policy Concept 2020-2030 and the State Youth Strategy 2023-2026, articulate commitments to participation, inclusion, youth development, and civic engagement. The Georgian Youth Agency, established in 2019, has sought to coordinate youth policy. Yet the field remains less institutionally embedded than in Estonia. There is no comparable statutory youth work system with a binding municipal provision mandate, nationally established occupational infrastructure, or a consolidated public funding model. In practice, many youth work-like functions are carried out by CSOs, schools, donor-funded programmes, youth centres, and local initiative groups.</w:t>
      </w:r>
    </w:p>
    <w:p w:rsidR="00000000" w:rsidDel="00000000" w:rsidP="00000000" w:rsidRDefault="00000000" w:rsidRPr="00000000" w14:paraId="00000020">
      <w:pPr>
        <w:spacing w:after="120" w:lineRule="auto"/>
        <w:ind w:firstLine="432"/>
        <w:rPr/>
      </w:pPr>
      <w:r w:rsidDel="00000000" w:rsidR="00000000" w:rsidRPr="00000000">
        <w:rPr>
          <w:rtl w:val="0"/>
        </w:rPr>
        <w:t xml:space="preserve">The Georgian material shows a vibrant but fragmented civic learning ecosystem. Civic education teachers described school self-government, simulated elections, volunteering projects, environmental campaigns, and student-led initiatives. CSO representatives described programmes for ethnic minority youth, girls’ leadership, vocational orientation, debate, community projects, early marriage awareness, and intercultural dialogue. In Kvemo Kartli and related minority communities, organisations adapted materials into Armenian and Azerbaijani and worked through local trust networks. One CSO representative explained that their approach was "not limited to one-time events" and that they worked with groups across the year, including students trained as trainers who returned to their own schools.</w:t>
      </w:r>
    </w:p>
    <w:p w:rsidR="00000000" w:rsidDel="00000000" w:rsidP="00000000" w:rsidRDefault="00000000" w:rsidRPr="00000000" w14:paraId="00000021">
      <w:pPr>
        <w:spacing w:after="120" w:lineRule="auto"/>
        <w:ind w:firstLine="432"/>
        <w:rPr/>
      </w:pPr>
      <w:r w:rsidDel="00000000" w:rsidR="00000000" w:rsidRPr="00000000">
        <w:rPr>
          <w:rtl w:val="0"/>
        </w:rPr>
        <w:t xml:space="preserve">These strengths are constrained by structural fragility. Interviewees repeatedly pointed to weak infrastructure, limited recreational and youth spaces, transportation barriers, uneven municipal engagement, language barriers, dependence on external programmes, and weak links between youth initiatives and formal decision-making. A teacher in Kvemo Kartli described civic education as terminology-heavy and difficult for Azerbaijani-speaking students, especially where Georgian-language media and extracurricular opportunities are harder to access. Youth participants from region similarly described the lack of recreational spaces where they could "gather and relax." These observations reveal that Georgian youth participation is often blocked not by indifference, but by the absence of stable and accessible institutional channels.</w:t>
      </w:r>
    </w:p>
    <w:p w:rsidR="00000000" w:rsidDel="00000000" w:rsidP="00000000" w:rsidRDefault="00000000" w:rsidRPr="00000000" w14:paraId="00000022">
      <w:pPr>
        <w:pStyle w:val="Heading2"/>
        <w:spacing w:after="80" w:lineRule="auto"/>
        <w:rPr/>
      </w:pPr>
      <w:r w:rsidDel="00000000" w:rsidR="00000000" w:rsidRPr="00000000">
        <w:rPr>
          <w:rtl w:val="0"/>
        </w:rPr>
        <w:t xml:space="preserve">2.4 Youth Work as Democratic Infrastructure</w:t>
      </w:r>
    </w:p>
    <w:p w:rsidR="00000000" w:rsidDel="00000000" w:rsidP="00000000" w:rsidRDefault="00000000" w:rsidRPr="00000000" w14:paraId="00000023">
      <w:pPr>
        <w:spacing w:after="120" w:lineRule="auto"/>
        <w:ind w:firstLine="432"/>
        <w:rPr/>
      </w:pPr>
      <w:r w:rsidDel="00000000" w:rsidR="00000000" w:rsidRPr="00000000">
        <w:rPr>
          <w:rtl w:val="0"/>
        </w:rPr>
        <w:t xml:space="preserve">This article conceptualises youth work as a meso-level democratic infrastructure. The term infrastructure is used deliberately. Youth work does not replace elections, parties, courts, schools, or civil society organisations. Rather, it connects everyday developmental environments to wider democratic life. When youth work is sustained, accessible, and participatory, it can provide repeated experiences through which young people learn that voice is possible, cooperation is meaningful, and institutions can be approached rather than avoided.</w:t>
      </w:r>
    </w:p>
    <w:p w:rsidR="00000000" w:rsidDel="00000000" w:rsidP="00000000" w:rsidRDefault="00000000" w:rsidRPr="00000000" w14:paraId="00000024">
      <w:pPr>
        <w:spacing w:after="120" w:lineRule="auto"/>
        <w:ind w:firstLine="432"/>
        <w:rPr/>
      </w:pPr>
      <w:r w:rsidDel="00000000" w:rsidR="00000000" w:rsidRPr="00000000">
        <w:rPr>
          <w:rtl w:val="0"/>
        </w:rPr>
        <w:t xml:space="preserve">Three theoretical perspectives guide the analysis. First, Bronfenbrenner’s (1979) ecological systems theory helps connect micro-level youth work practice to meso-level schools, municipalities, CSOs, and macro-level political conditions. Second, social capital theory distinguishes bonding, bridging, and linking capital (Putnam, 1995; Woolcock, 2001). This distinction is crucial because informal community engagement does not automatically translate into institutional influence. Third, Scott’s (2014) neo-institutional framework distinguishes regulative, normative, and cultural-cognitive pillars, allowing the analysis to differentiate between legal formalisation, professional standards, and public recognition.</w:t>
      </w:r>
    </w:p>
    <w:p w:rsidR="00000000" w:rsidDel="00000000" w:rsidP="00000000" w:rsidRDefault="00000000" w:rsidRPr="00000000" w14:paraId="00000025">
      <w:pPr>
        <w:spacing w:after="120" w:lineRule="auto"/>
        <w:ind w:firstLine="432"/>
        <w:rPr/>
      </w:pPr>
      <w:r w:rsidDel="00000000" w:rsidR="00000000" w:rsidRPr="00000000">
        <w:rPr>
          <w:rtl w:val="0"/>
        </w:rPr>
        <w:t xml:space="preserve">Evolutionary Emancipation Theory provides the article’s fourth conceptual anchor. Welzel (2013, 2021) argues that emancipative values grow from expanded action resources and support liberal-democratic development. Charkviani (2024) applies this logic to youth work by showing that non-formal youth work can strengthen autonomy, gender equality, freedom of intimate choice, and voice. The Estonian thesis material suggests that youth work may develop not only knowledge and critical thinking, but also emotional and relational capacities, such as empathy, self-confidence, dialogue, and the ability to cooperate across difference. This article retains that insight while asking how far such mechanisms depend on institutional design.</w:t>
      </w:r>
    </w:p>
    <w:p w:rsidR="00000000" w:rsidDel="00000000" w:rsidP="00000000" w:rsidRDefault="00000000" w:rsidRPr="00000000" w14:paraId="00000026">
      <w:pPr>
        <w:spacing w:after="120" w:lineRule="auto"/>
        <w:ind w:firstLine="432"/>
        <w:rPr/>
      </w:pPr>
      <w:r w:rsidDel="00000000" w:rsidR="00000000" w:rsidRPr="00000000">
        <w:rPr>
          <w:rtl w:val="0"/>
        </w:rPr>
        <w:t xml:space="preserve">From these perspectives, two expectations follow. First, Institutionalized systems can help reproduce participation pathways over time when they are designed to be accessible to vulnerable and less-confident young people, rather than primarily benefiting those who already feel confident navigating formal channels. Second, civil society-driven systems should be able to respond flexibly to local needs, but may struggle to generate cumulative democratic effects if provision is discontinuous or weakly connected to public authority. The comparison between Estonia and Georgia examines these expectations empirically.</w:t>
      </w:r>
    </w:p>
    <w:p w:rsidR="00000000" w:rsidDel="00000000" w:rsidP="00000000" w:rsidRDefault="00000000" w:rsidRPr="00000000" w14:paraId="00000027">
      <w:pPr>
        <w:pStyle w:val="Heading1"/>
        <w:spacing w:after="120" w:before="240" w:lineRule="auto"/>
        <w:rPr/>
      </w:pPr>
      <w:r w:rsidDel="00000000" w:rsidR="00000000" w:rsidRPr="00000000">
        <w:rPr>
          <w:rtl w:val="0"/>
        </w:rPr>
        <w:t xml:space="preserve">3. Methodology</w:t>
      </w:r>
    </w:p>
    <w:p w:rsidR="00000000" w:rsidDel="00000000" w:rsidP="00000000" w:rsidRDefault="00000000" w:rsidRPr="00000000" w14:paraId="00000028">
      <w:pPr>
        <w:pStyle w:val="Heading2"/>
        <w:spacing w:after="80" w:lineRule="auto"/>
        <w:rPr/>
      </w:pPr>
      <w:r w:rsidDel="00000000" w:rsidR="00000000" w:rsidRPr="00000000">
        <w:rPr>
          <w:rtl w:val="0"/>
        </w:rPr>
        <w:t xml:space="preserve">3.1 Comparative Research Design</w:t>
      </w:r>
    </w:p>
    <w:p w:rsidR="00000000" w:rsidDel="00000000" w:rsidP="00000000" w:rsidRDefault="00000000" w:rsidRPr="00000000" w14:paraId="00000029">
      <w:pPr>
        <w:spacing w:after="120" w:lineRule="auto"/>
        <w:ind w:firstLine="432"/>
        <w:rPr/>
      </w:pPr>
      <w:r w:rsidDel="00000000" w:rsidR="00000000" w:rsidRPr="00000000">
        <w:rPr>
          <w:rtl w:val="0"/>
        </w:rPr>
        <w:t xml:space="preserve">The study employs a qualitative comparative design with integrated quantitative context. It combines three empirical strands: macro-level indicators from V-Dem and QoG, analysis of national policy and legal documents, and qualitative material from Estonia and Georgia. The design is not intended to produce statistical causal inference. Instead, it uses indicators to characterise the structural environment in which youth work operates and uses documents and interviews to examine how institutional architectures are experienced, interpreted, and enacted in practice.</w:t>
      </w:r>
    </w:p>
    <w:p w:rsidR="00000000" w:rsidDel="00000000" w:rsidP="00000000" w:rsidRDefault="00000000" w:rsidRPr="00000000" w14:paraId="0000002A">
      <w:pPr>
        <w:spacing w:after="120" w:lineRule="auto"/>
        <w:ind w:firstLine="432"/>
        <w:rPr/>
      </w:pPr>
      <w:r w:rsidDel="00000000" w:rsidR="00000000" w:rsidRPr="00000000">
        <w:rPr>
          <w:rtl w:val="0"/>
        </w:rPr>
        <w:t xml:space="preserve">The case selection follows a theoretically motivated most-similar, different-trajectories logic. Estonia and Georgia share the historically important condition of Soviet rule and post-Soviet state-building. They differ, however, in European integration, state capacity, democratic consolidation, and the institutionalisation of youth work. Estonia represents a post-Soviet EU member state with a consolidated youth work architecture. Georgia represents a post-Soviet aspiring European democracy in which youth work-like practices are more dependent on donor support, schools, CSOs, and local initiatives. This contrast enables the article to examine how institutional design shapes the stability, reach, and democratic implications of youth work.</w:t>
      </w:r>
    </w:p>
    <w:p w:rsidR="00000000" w:rsidDel="00000000" w:rsidP="00000000" w:rsidRDefault="00000000" w:rsidRPr="00000000" w14:paraId="0000002B">
      <w:pPr>
        <w:pStyle w:val="Heading2"/>
        <w:spacing w:after="80" w:lineRule="auto"/>
        <w:rPr/>
      </w:pPr>
      <w:r w:rsidDel="00000000" w:rsidR="00000000" w:rsidRPr="00000000">
        <w:rPr>
          <w:rtl w:val="0"/>
        </w:rPr>
        <w:t xml:space="preserve">3.2 V-Dem and QoG Indicator Selection</w:t>
      </w:r>
    </w:p>
    <w:p w:rsidR="00000000" w:rsidDel="00000000" w:rsidP="00000000" w:rsidRDefault="00000000" w:rsidRPr="00000000" w14:paraId="0000002C">
      <w:pPr>
        <w:spacing w:after="120" w:lineRule="auto"/>
        <w:ind w:firstLine="432"/>
        <w:rPr/>
      </w:pPr>
      <w:r w:rsidDel="00000000" w:rsidR="00000000" w:rsidRPr="00000000">
        <w:rPr>
          <w:rtl w:val="0"/>
        </w:rPr>
        <w:t xml:space="preserve">The quantitative strand draws on indicators from the V-Dem dataset and the QoG Standard Time-Series dataset (Coppedge et al., 2023; Teorell et al., 2023). The analysis uses 2023 values to maintain temporal alignment with the 2024 qualitative material. These indicators are not treated as direct measures of youth work outcomes. They are used as contextual measures of the wider democratic, educational, associational, and governance environment within which youth work is embedded.</w:t>
      </w:r>
    </w:p>
    <w:p w:rsidR="00000000" w:rsidDel="00000000" w:rsidP="00000000" w:rsidRDefault="00000000" w:rsidRPr="00000000" w14:paraId="0000002D">
      <w:pPr>
        <w:spacing w:after="120" w:lineRule="auto"/>
        <w:ind w:firstLine="432"/>
        <w:rPr/>
      </w:pPr>
      <w:r w:rsidDel="00000000" w:rsidR="00000000" w:rsidRPr="00000000">
        <w:rPr>
          <w:rtl w:val="0"/>
        </w:rPr>
        <w:t xml:space="preserve">The selected indicators cover five conceptual areas: political exclusion, equality of opportunity, civic associational engagement, political power distribution, and civic education. Political exclusion indicators are relevant because youth work’s inclusion function is harder to sustain where exclusion by gender, social group, or geography is more pronounced. Associational indicators are relevant because youth work draws on and contributes to civil society infrastructure. Educational equality and civic education indicators are relevant because youth work interacts with formal education in shaping young people’s civic resources. Power distribution by socioeconomic position is relevant because participation only becomes democratic influence when ordinary citizens can plausibly connect voice to decision-making.</w:t>
      </w:r>
    </w:p>
    <w:p w:rsidR="00000000" w:rsidDel="00000000" w:rsidP="00000000" w:rsidRDefault="00000000" w:rsidRPr="00000000" w14:paraId="0000002E">
      <w:pPr>
        <w:spacing w:after="120" w:lineRule="auto"/>
        <w:rPr/>
      </w:pPr>
      <w:r w:rsidDel="00000000" w:rsidR="00000000" w:rsidRPr="00000000">
        <w:rPr>
          <w:b w:val="1"/>
          <w:bCs w:val="1"/>
          <w:rtl w:val="0"/>
        </w:rPr>
        <w:t xml:space="preserve">Table 1. Contextual indicators used in the comparative analysis</w:t>
      </w: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1"/>
        <w:gridCol w:w="1869"/>
        <w:gridCol w:w="1869"/>
        <w:gridCol w:w="1871"/>
        <w:tblGridChange w:id="0">
          <w:tblGrid>
            <w:gridCol w:w="1870"/>
            <w:gridCol w:w="1871"/>
            <w:gridCol w:w="1869"/>
            <w:gridCol w:w="1869"/>
            <w:gridCol w:w="1871"/>
          </w:tblGrid>
        </w:tblGridChange>
      </w:tblGrid>
      <w:tr>
        <w:trPr>
          <w:cantSplit w:val="0"/>
          <w:tblHeader w:val="1"/>
        </w:trPr>
        <w:tc>
          <w:tcPr>
            <w:shd w:fill="d9ead3" w:val="clear"/>
            <w:vAlign w:val="center"/>
          </w:tcPr>
          <w:p w:rsidR="00000000" w:rsidDel="00000000" w:rsidP="00000000" w:rsidRDefault="00000000" w:rsidRPr="00000000" w14:paraId="0000002F">
            <w:pPr>
              <w:rPr/>
            </w:pPr>
            <w:r w:rsidDel="00000000" w:rsidR="00000000" w:rsidRPr="00000000">
              <w:rPr>
                <w:b w:val="1"/>
                <w:bCs w:val="1"/>
                <w:sz w:val="18"/>
                <w:szCs w:val="18"/>
                <w:rtl w:val="0"/>
              </w:rPr>
              <w:t xml:space="preserve">Concept</w:t>
            </w:r>
            <w:r w:rsidDel="00000000" w:rsidR="00000000" w:rsidRPr="00000000">
              <w:rPr>
                <w:rtl w:val="0"/>
              </w:rPr>
            </w:r>
          </w:p>
        </w:tc>
        <w:tc>
          <w:tcPr>
            <w:shd w:fill="d9ead3" w:val="clear"/>
            <w:vAlign w:val="center"/>
          </w:tcPr>
          <w:p w:rsidR="00000000" w:rsidDel="00000000" w:rsidP="00000000" w:rsidRDefault="00000000" w:rsidRPr="00000000" w14:paraId="00000030">
            <w:pPr>
              <w:rPr/>
            </w:pPr>
            <w:r w:rsidDel="00000000" w:rsidR="00000000" w:rsidRPr="00000000">
              <w:rPr>
                <w:b w:val="1"/>
                <w:bCs w:val="1"/>
                <w:sz w:val="18"/>
                <w:szCs w:val="18"/>
                <w:rtl w:val="0"/>
              </w:rPr>
              <w:t xml:space="preserve">Indicator</w:t>
            </w:r>
            <w:r w:rsidDel="00000000" w:rsidR="00000000" w:rsidRPr="00000000">
              <w:rPr>
                <w:rtl w:val="0"/>
              </w:rPr>
            </w:r>
          </w:p>
        </w:tc>
        <w:tc>
          <w:tcPr>
            <w:shd w:fill="d9ead3" w:val="clear"/>
            <w:vAlign w:val="center"/>
          </w:tcPr>
          <w:p w:rsidR="00000000" w:rsidDel="00000000" w:rsidP="00000000" w:rsidRDefault="00000000" w:rsidRPr="00000000" w14:paraId="00000031">
            <w:pPr>
              <w:rPr/>
            </w:pPr>
            <w:r w:rsidDel="00000000" w:rsidR="00000000" w:rsidRPr="00000000">
              <w:rPr>
                <w:b w:val="1"/>
                <w:bCs w:val="1"/>
                <w:sz w:val="18"/>
                <w:szCs w:val="18"/>
                <w:rtl w:val="0"/>
              </w:rPr>
              <w:t xml:space="preserve">Estonia</w:t>
            </w:r>
            <w:r w:rsidDel="00000000" w:rsidR="00000000" w:rsidRPr="00000000">
              <w:rPr>
                <w:rtl w:val="0"/>
              </w:rPr>
            </w:r>
          </w:p>
        </w:tc>
        <w:tc>
          <w:tcPr>
            <w:shd w:fill="d9ead3" w:val="clear"/>
            <w:vAlign w:val="center"/>
          </w:tcPr>
          <w:p w:rsidR="00000000" w:rsidDel="00000000" w:rsidP="00000000" w:rsidRDefault="00000000" w:rsidRPr="00000000" w14:paraId="00000032">
            <w:pPr>
              <w:rPr/>
            </w:pPr>
            <w:r w:rsidDel="00000000" w:rsidR="00000000" w:rsidRPr="00000000">
              <w:rPr>
                <w:b w:val="1"/>
                <w:bCs w:val="1"/>
                <w:sz w:val="18"/>
                <w:szCs w:val="18"/>
                <w:rtl w:val="0"/>
              </w:rPr>
              <w:t xml:space="preserve">Georgia</w:t>
            </w:r>
            <w:r w:rsidDel="00000000" w:rsidR="00000000" w:rsidRPr="00000000">
              <w:rPr>
                <w:rtl w:val="0"/>
              </w:rPr>
            </w:r>
          </w:p>
        </w:tc>
        <w:tc>
          <w:tcPr>
            <w:shd w:fill="d9ead3" w:val="clear"/>
            <w:vAlign w:val="center"/>
          </w:tcPr>
          <w:p w:rsidR="00000000" w:rsidDel="00000000" w:rsidP="00000000" w:rsidRDefault="00000000" w:rsidRPr="00000000" w14:paraId="00000033">
            <w:pPr>
              <w:rPr/>
            </w:pPr>
            <w:r w:rsidDel="00000000" w:rsidR="00000000" w:rsidRPr="00000000">
              <w:rPr>
                <w:b w:val="1"/>
                <w:bCs w:val="1"/>
                <w:sz w:val="18"/>
                <w:szCs w:val="18"/>
                <w:rtl w:val="0"/>
              </w:rPr>
              <w:t xml:space="preserve">Interpretation</w:t>
            </w:r>
            <w:r w:rsidDel="00000000" w:rsidR="00000000" w:rsidRPr="00000000">
              <w:rPr>
                <w:rtl w:val="0"/>
              </w:rPr>
            </w:r>
          </w:p>
        </w:tc>
      </w:tr>
      <w:tr>
        <w:trPr>
          <w:cantSplit w:val="0"/>
          <w:tblHeader w:val="0"/>
        </w:trPr>
        <w:tc>
          <w:tcPr/>
          <w:p w:rsidR="00000000" w:rsidDel="00000000" w:rsidP="00000000" w:rsidRDefault="00000000" w:rsidRPr="00000000" w14:paraId="00000034">
            <w:pPr>
              <w:rPr/>
            </w:pPr>
            <w:r w:rsidDel="00000000" w:rsidR="00000000" w:rsidRPr="00000000">
              <w:rPr>
                <w:sz w:val="16"/>
                <w:szCs w:val="16"/>
                <w:rtl w:val="0"/>
              </w:rPr>
              <w:t xml:space="preserve">Political exclusion by geography</w:t>
            </w:r>
            <w:r w:rsidDel="00000000" w:rsidR="00000000" w:rsidRPr="00000000">
              <w:rPr>
                <w:rtl w:val="0"/>
              </w:rPr>
            </w:r>
          </w:p>
        </w:tc>
        <w:tc>
          <w:tcPr/>
          <w:p w:rsidR="00000000" w:rsidDel="00000000" w:rsidP="00000000" w:rsidRDefault="00000000" w:rsidRPr="00000000" w14:paraId="00000035">
            <w:pPr>
              <w:rPr/>
            </w:pPr>
            <w:r w:rsidDel="00000000" w:rsidR="00000000" w:rsidRPr="00000000">
              <w:rPr>
                <w:sz w:val="16"/>
                <w:szCs w:val="16"/>
                <w:rtl w:val="0"/>
              </w:rPr>
              <w:t xml:space="preserve">V-Dem v2xpe_exlgeo</w:t>
            </w:r>
            <w:r w:rsidDel="00000000" w:rsidR="00000000" w:rsidRPr="00000000">
              <w:rPr>
                <w:rtl w:val="0"/>
              </w:rPr>
            </w:r>
          </w:p>
        </w:tc>
        <w:tc>
          <w:tcPr/>
          <w:p w:rsidR="00000000" w:rsidDel="00000000" w:rsidP="00000000" w:rsidRDefault="00000000" w:rsidRPr="00000000" w14:paraId="00000036">
            <w:pPr>
              <w:rPr/>
            </w:pPr>
            <w:r w:rsidDel="00000000" w:rsidR="00000000" w:rsidRPr="00000000">
              <w:rPr>
                <w:sz w:val="16"/>
                <w:szCs w:val="16"/>
                <w:rtl w:val="0"/>
              </w:rPr>
              <w:t xml:space="preserve">0.07</w:t>
            </w:r>
            <w:r w:rsidDel="00000000" w:rsidR="00000000" w:rsidRPr="00000000">
              <w:rPr>
                <w:rtl w:val="0"/>
              </w:rPr>
            </w:r>
          </w:p>
        </w:tc>
        <w:tc>
          <w:tcPr/>
          <w:p w:rsidR="00000000" w:rsidDel="00000000" w:rsidP="00000000" w:rsidRDefault="00000000" w:rsidRPr="00000000" w14:paraId="00000037">
            <w:pPr>
              <w:rPr/>
            </w:pPr>
            <w:r w:rsidDel="00000000" w:rsidR="00000000" w:rsidRPr="00000000">
              <w:rPr>
                <w:sz w:val="16"/>
                <w:szCs w:val="16"/>
                <w:rtl w:val="0"/>
              </w:rPr>
              <w:t xml:space="preserve">0.15</w:t>
            </w:r>
            <w:r w:rsidDel="00000000" w:rsidR="00000000" w:rsidRPr="00000000">
              <w:rPr>
                <w:rtl w:val="0"/>
              </w:rPr>
            </w:r>
          </w:p>
        </w:tc>
        <w:tc>
          <w:tcPr/>
          <w:p w:rsidR="00000000" w:rsidDel="00000000" w:rsidP="00000000" w:rsidRDefault="00000000" w:rsidRPr="00000000" w14:paraId="00000038">
            <w:pPr>
              <w:rPr/>
            </w:pPr>
            <w:r w:rsidDel="00000000" w:rsidR="00000000" w:rsidRPr="00000000">
              <w:rPr>
                <w:sz w:val="16"/>
                <w:szCs w:val="16"/>
                <w:rtl w:val="0"/>
              </w:rPr>
              <w:t xml:space="preserve">Lower values indicate less exclusion. Georgia shows more urban-rural exclusion.</w:t>
            </w: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sz w:val="16"/>
                <w:szCs w:val="16"/>
                <w:rtl w:val="0"/>
              </w:rPr>
              <w:t xml:space="preserve">Political exclusion by gender</w:t>
            </w:r>
            <w:r w:rsidDel="00000000" w:rsidR="00000000" w:rsidRPr="00000000">
              <w:rPr>
                <w:rtl w:val="0"/>
              </w:rPr>
            </w:r>
          </w:p>
        </w:tc>
        <w:tc>
          <w:tcPr/>
          <w:p w:rsidR="00000000" w:rsidDel="00000000" w:rsidP="00000000" w:rsidRDefault="00000000" w:rsidRPr="00000000" w14:paraId="0000003A">
            <w:pPr>
              <w:rPr/>
            </w:pPr>
            <w:r w:rsidDel="00000000" w:rsidR="00000000" w:rsidRPr="00000000">
              <w:rPr>
                <w:sz w:val="16"/>
                <w:szCs w:val="16"/>
                <w:rtl w:val="0"/>
              </w:rPr>
              <w:t xml:space="preserve">V-Dem v2xpe_exlgender</w:t>
            </w:r>
            <w:r w:rsidDel="00000000" w:rsidR="00000000" w:rsidRPr="00000000">
              <w:rPr>
                <w:rtl w:val="0"/>
              </w:rPr>
            </w:r>
          </w:p>
        </w:tc>
        <w:tc>
          <w:tcPr/>
          <w:p w:rsidR="00000000" w:rsidDel="00000000" w:rsidP="00000000" w:rsidRDefault="00000000" w:rsidRPr="00000000" w14:paraId="0000003B">
            <w:pPr>
              <w:rPr/>
            </w:pPr>
            <w:r w:rsidDel="00000000" w:rsidR="00000000" w:rsidRPr="00000000">
              <w:rPr>
                <w:sz w:val="16"/>
                <w:szCs w:val="16"/>
                <w:rtl w:val="0"/>
              </w:rPr>
              <w:t xml:space="preserve">0.03</w:t>
            </w:r>
            <w:r w:rsidDel="00000000" w:rsidR="00000000" w:rsidRPr="00000000">
              <w:rPr>
                <w:rtl w:val="0"/>
              </w:rPr>
            </w:r>
          </w:p>
        </w:tc>
        <w:tc>
          <w:tcPr/>
          <w:p w:rsidR="00000000" w:rsidDel="00000000" w:rsidP="00000000" w:rsidRDefault="00000000" w:rsidRPr="00000000" w14:paraId="0000003C">
            <w:pPr>
              <w:rPr/>
            </w:pPr>
            <w:r w:rsidDel="00000000" w:rsidR="00000000" w:rsidRPr="00000000">
              <w:rPr>
                <w:sz w:val="16"/>
                <w:szCs w:val="16"/>
                <w:rtl w:val="0"/>
              </w:rPr>
              <w:t xml:space="preserve">0.09</w:t>
            </w:r>
            <w:r w:rsidDel="00000000" w:rsidR="00000000" w:rsidRPr="00000000">
              <w:rPr>
                <w:rtl w:val="0"/>
              </w:rPr>
            </w:r>
          </w:p>
        </w:tc>
        <w:tc>
          <w:tcPr/>
          <w:p w:rsidR="00000000" w:rsidDel="00000000" w:rsidP="00000000" w:rsidRDefault="00000000" w:rsidRPr="00000000" w14:paraId="0000003D">
            <w:pPr>
              <w:rPr/>
            </w:pPr>
            <w:r w:rsidDel="00000000" w:rsidR="00000000" w:rsidRPr="00000000">
              <w:rPr>
                <w:sz w:val="16"/>
                <w:szCs w:val="16"/>
                <w:rtl w:val="0"/>
              </w:rPr>
              <w:t xml:space="preserve">Lower values indicate less exclusion. Estonia has a stronger equality context.</w:t>
            </w:r>
            <w:r w:rsidDel="00000000" w:rsidR="00000000" w:rsidRPr="00000000">
              <w:rPr>
                <w:rtl w:val="0"/>
              </w:rPr>
            </w:r>
          </w:p>
        </w:tc>
      </w:tr>
      <w:tr>
        <w:trPr>
          <w:cantSplit w:val="0"/>
          <w:tblHeader w:val="0"/>
        </w:trPr>
        <w:tc>
          <w:tcPr/>
          <w:p w:rsidR="00000000" w:rsidDel="00000000" w:rsidP="00000000" w:rsidRDefault="00000000" w:rsidRPr="00000000" w14:paraId="0000003E">
            <w:pPr>
              <w:rPr/>
            </w:pPr>
            <w:r w:rsidDel="00000000" w:rsidR="00000000" w:rsidRPr="00000000">
              <w:rPr>
                <w:sz w:val="16"/>
                <w:szCs w:val="16"/>
                <w:rtl w:val="0"/>
              </w:rPr>
              <w:t xml:space="preserve">Political exclusion by social group</w:t>
            </w:r>
            <w:r w:rsidDel="00000000" w:rsidR="00000000" w:rsidRPr="00000000">
              <w:rPr>
                <w:rtl w:val="0"/>
              </w:rPr>
            </w:r>
          </w:p>
        </w:tc>
        <w:tc>
          <w:tcPr/>
          <w:p w:rsidR="00000000" w:rsidDel="00000000" w:rsidP="00000000" w:rsidRDefault="00000000" w:rsidRPr="00000000" w14:paraId="0000003F">
            <w:pPr>
              <w:rPr/>
            </w:pPr>
            <w:r w:rsidDel="00000000" w:rsidR="00000000" w:rsidRPr="00000000">
              <w:rPr>
                <w:sz w:val="16"/>
                <w:szCs w:val="16"/>
                <w:rtl w:val="0"/>
              </w:rPr>
              <w:t xml:space="preserve">V-Dem v2xpe_exlsocgr</w:t>
            </w:r>
            <w:r w:rsidDel="00000000" w:rsidR="00000000" w:rsidRPr="00000000">
              <w:rPr>
                <w:rtl w:val="0"/>
              </w:rPr>
            </w:r>
          </w:p>
        </w:tc>
        <w:tc>
          <w:tcPr/>
          <w:p w:rsidR="00000000" w:rsidDel="00000000" w:rsidP="00000000" w:rsidRDefault="00000000" w:rsidRPr="00000000" w14:paraId="00000040">
            <w:pPr>
              <w:rPr/>
            </w:pPr>
            <w:r w:rsidDel="00000000" w:rsidR="00000000" w:rsidRPr="00000000">
              <w:rPr>
                <w:sz w:val="16"/>
                <w:szCs w:val="16"/>
                <w:rtl w:val="0"/>
              </w:rPr>
              <w:t xml:space="preserve">0.11</w:t>
            </w:r>
            <w:r w:rsidDel="00000000" w:rsidR="00000000" w:rsidRPr="00000000">
              <w:rPr>
                <w:rtl w:val="0"/>
              </w:rPr>
            </w:r>
          </w:p>
        </w:tc>
        <w:tc>
          <w:tcPr/>
          <w:p w:rsidR="00000000" w:rsidDel="00000000" w:rsidP="00000000" w:rsidRDefault="00000000" w:rsidRPr="00000000" w14:paraId="00000041">
            <w:pPr>
              <w:rPr/>
            </w:pPr>
            <w:r w:rsidDel="00000000" w:rsidR="00000000" w:rsidRPr="00000000">
              <w:rPr>
                <w:sz w:val="16"/>
                <w:szCs w:val="16"/>
                <w:rtl w:val="0"/>
              </w:rPr>
              <w:t xml:space="preserve">0.16</w:t>
            </w:r>
            <w:r w:rsidDel="00000000" w:rsidR="00000000" w:rsidRPr="00000000">
              <w:rPr>
                <w:rtl w:val="0"/>
              </w:rPr>
            </w:r>
          </w:p>
        </w:tc>
        <w:tc>
          <w:tcPr/>
          <w:p w:rsidR="00000000" w:rsidDel="00000000" w:rsidP="00000000" w:rsidRDefault="00000000" w:rsidRPr="00000000" w14:paraId="00000042">
            <w:pPr>
              <w:rPr/>
            </w:pPr>
            <w:r w:rsidDel="00000000" w:rsidR="00000000" w:rsidRPr="00000000">
              <w:rPr>
                <w:sz w:val="16"/>
                <w:szCs w:val="16"/>
                <w:rtl w:val="0"/>
              </w:rPr>
              <w:t xml:space="preserve">Lower values indicate less exclusion. Social group exclusion is somewhat higher in Georgia.</w:t>
            </w:r>
            <w:r w:rsidDel="00000000" w:rsidR="00000000" w:rsidRPr="00000000">
              <w:rPr>
                <w:rtl w:val="0"/>
              </w:rPr>
            </w:r>
          </w:p>
        </w:tc>
      </w:tr>
      <w:tr>
        <w:trPr>
          <w:cantSplit w:val="0"/>
          <w:tblHeader w:val="0"/>
        </w:trPr>
        <w:tc>
          <w:tcPr/>
          <w:p w:rsidR="00000000" w:rsidDel="00000000" w:rsidP="00000000" w:rsidRDefault="00000000" w:rsidRPr="00000000" w14:paraId="00000043">
            <w:pPr>
              <w:rPr/>
            </w:pPr>
            <w:r w:rsidDel="00000000" w:rsidR="00000000" w:rsidRPr="00000000">
              <w:rPr>
                <w:sz w:val="16"/>
                <w:szCs w:val="16"/>
                <w:rtl w:val="0"/>
              </w:rPr>
              <w:t xml:space="preserve">Equal opportunity</w:t>
            </w:r>
            <w:r w:rsidDel="00000000" w:rsidR="00000000" w:rsidRPr="00000000">
              <w:rPr>
                <w:rtl w:val="0"/>
              </w:rPr>
            </w:r>
          </w:p>
        </w:tc>
        <w:tc>
          <w:tcPr/>
          <w:p w:rsidR="00000000" w:rsidDel="00000000" w:rsidP="00000000" w:rsidRDefault="00000000" w:rsidRPr="00000000" w14:paraId="00000044">
            <w:pPr>
              <w:rPr/>
            </w:pPr>
            <w:r w:rsidDel="00000000" w:rsidR="00000000" w:rsidRPr="00000000">
              <w:rPr>
                <w:sz w:val="16"/>
                <w:szCs w:val="16"/>
                <w:rtl w:val="0"/>
              </w:rPr>
              <w:t xml:space="preserve">QoG qog_std_ts_bti_eo</w:t>
            </w:r>
            <w:r w:rsidDel="00000000" w:rsidR="00000000" w:rsidRPr="00000000">
              <w:rPr>
                <w:rtl w:val="0"/>
              </w:rPr>
            </w:r>
          </w:p>
        </w:tc>
        <w:tc>
          <w:tcPr/>
          <w:p w:rsidR="00000000" w:rsidDel="00000000" w:rsidP="00000000" w:rsidRDefault="00000000" w:rsidRPr="00000000" w14:paraId="00000045">
            <w:pPr>
              <w:rPr/>
            </w:pPr>
            <w:r w:rsidDel="00000000" w:rsidR="00000000" w:rsidRPr="00000000">
              <w:rPr>
                <w:sz w:val="16"/>
                <w:szCs w:val="16"/>
                <w:rtl w:val="0"/>
              </w:rPr>
              <w:t xml:space="preserve">9</w:t>
            </w:r>
            <w:r w:rsidDel="00000000" w:rsidR="00000000" w:rsidRPr="00000000">
              <w:rPr>
                <w:rtl w:val="0"/>
              </w:rPr>
            </w:r>
          </w:p>
        </w:tc>
        <w:tc>
          <w:tcPr/>
          <w:p w:rsidR="00000000" w:rsidDel="00000000" w:rsidP="00000000" w:rsidRDefault="00000000" w:rsidRPr="00000000" w14:paraId="00000046">
            <w:pPr>
              <w:rPr/>
            </w:pPr>
            <w:r w:rsidDel="00000000" w:rsidR="00000000" w:rsidRPr="00000000">
              <w:rPr>
                <w:sz w:val="16"/>
                <w:szCs w:val="16"/>
                <w:rtl w:val="0"/>
              </w:rPr>
              <w:t xml:space="preserve">5</w:t>
            </w:r>
            <w:r w:rsidDel="00000000" w:rsidR="00000000" w:rsidRPr="00000000">
              <w:rPr>
                <w:rtl w:val="0"/>
              </w:rPr>
            </w:r>
          </w:p>
        </w:tc>
        <w:tc>
          <w:tcPr/>
          <w:p w:rsidR="00000000" w:rsidDel="00000000" w:rsidP="00000000" w:rsidRDefault="00000000" w:rsidRPr="00000000" w14:paraId="00000047">
            <w:pPr>
              <w:rPr/>
            </w:pPr>
            <w:r w:rsidDel="00000000" w:rsidR="00000000" w:rsidRPr="00000000">
              <w:rPr>
                <w:sz w:val="16"/>
                <w:szCs w:val="16"/>
                <w:rtl w:val="0"/>
              </w:rPr>
              <w:t xml:space="preserve">Higher values indicate stronger equal opportunity and implementation.</w:t>
            </w:r>
            <w:r w:rsidDel="00000000" w:rsidR="00000000" w:rsidRPr="00000000">
              <w:rPr>
                <w:rtl w:val="0"/>
              </w:rPr>
            </w:r>
          </w:p>
        </w:tc>
      </w:tr>
      <w:tr>
        <w:trPr>
          <w:cantSplit w:val="0"/>
          <w:tblHeader w:val="0"/>
        </w:trPr>
        <w:tc>
          <w:tcPr/>
          <w:p w:rsidR="00000000" w:rsidDel="00000000" w:rsidP="00000000" w:rsidRDefault="00000000" w:rsidRPr="00000000" w14:paraId="00000048">
            <w:pPr>
              <w:rPr/>
            </w:pPr>
            <w:r w:rsidDel="00000000" w:rsidR="00000000" w:rsidRPr="00000000">
              <w:rPr>
                <w:sz w:val="16"/>
                <w:szCs w:val="16"/>
                <w:rtl w:val="0"/>
              </w:rPr>
              <w:t xml:space="preserve">Gender equality in civil liberties</w:t>
            </w:r>
            <w:r w:rsidDel="00000000" w:rsidR="00000000" w:rsidRPr="00000000">
              <w:rPr>
                <w:rtl w:val="0"/>
              </w:rPr>
            </w:r>
          </w:p>
        </w:tc>
        <w:tc>
          <w:tcPr/>
          <w:p w:rsidR="00000000" w:rsidDel="00000000" w:rsidP="00000000" w:rsidRDefault="00000000" w:rsidRPr="00000000" w14:paraId="00000049">
            <w:pPr>
              <w:rPr/>
            </w:pPr>
            <w:r w:rsidDel="00000000" w:rsidR="00000000" w:rsidRPr="00000000">
              <w:rPr>
                <w:sz w:val="16"/>
                <w:szCs w:val="16"/>
                <w:rtl w:val="0"/>
              </w:rPr>
              <w:t xml:space="preserve">V-Dem v2clgencl</w:t>
            </w:r>
            <w:r w:rsidDel="00000000" w:rsidR="00000000" w:rsidRPr="00000000">
              <w:rPr>
                <w:rtl w:val="0"/>
              </w:rPr>
            </w:r>
          </w:p>
        </w:tc>
        <w:tc>
          <w:tcPr/>
          <w:p w:rsidR="00000000" w:rsidDel="00000000" w:rsidP="00000000" w:rsidRDefault="00000000" w:rsidRPr="00000000" w14:paraId="0000004A">
            <w:pPr>
              <w:rPr/>
            </w:pPr>
            <w:r w:rsidDel="00000000" w:rsidR="00000000" w:rsidRPr="00000000">
              <w:rPr>
                <w:sz w:val="16"/>
                <w:szCs w:val="16"/>
                <w:rtl w:val="0"/>
              </w:rPr>
              <w:t xml:space="preserve">3.27</w:t>
            </w:r>
            <w:r w:rsidDel="00000000" w:rsidR="00000000" w:rsidRPr="00000000">
              <w:rPr>
                <w:rtl w:val="0"/>
              </w:rPr>
            </w:r>
          </w:p>
        </w:tc>
        <w:tc>
          <w:tcPr/>
          <w:p w:rsidR="00000000" w:rsidDel="00000000" w:rsidP="00000000" w:rsidRDefault="00000000" w:rsidRPr="00000000" w14:paraId="0000004B">
            <w:pPr>
              <w:rPr/>
            </w:pPr>
            <w:r w:rsidDel="00000000" w:rsidR="00000000" w:rsidRPr="00000000">
              <w:rPr>
                <w:sz w:val="16"/>
                <w:szCs w:val="16"/>
                <w:rtl w:val="0"/>
              </w:rPr>
              <w:t xml:space="preserve">2.15</w:t>
            </w:r>
            <w:r w:rsidDel="00000000" w:rsidR="00000000" w:rsidRPr="00000000">
              <w:rPr>
                <w:rtl w:val="0"/>
              </w:rPr>
            </w:r>
          </w:p>
        </w:tc>
        <w:tc>
          <w:tcPr/>
          <w:p w:rsidR="00000000" w:rsidDel="00000000" w:rsidP="00000000" w:rsidRDefault="00000000" w:rsidRPr="00000000" w14:paraId="0000004C">
            <w:pPr>
              <w:rPr/>
            </w:pPr>
            <w:r w:rsidDel="00000000" w:rsidR="00000000" w:rsidRPr="00000000">
              <w:rPr>
                <w:sz w:val="16"/>
                <w:szCs w:val="16"/>
                <w:rtl w:val="0"/>
              </w:rPr>
              <w:t xml:space="preserve">Higher values indicate greater equality in civil liberties.</w:t>
            </w:r>
            <w:r w:rsidDel="00000000" w:rsidR="00000000" w:rsidRPr="00000000">
              <w:rPr>
                <w:rtl w:val="0"/>
              </w:rPr>
            </w:r>
          </w:p>
        </w:tc>
      </w:tr>
      <w:tr>
        <w:trPr>
          <w:cantSplit w:val="0"/>
          <w:tblHeader w:val="0"/>
        </w:trPr>
        <w:tc>
          <w:tcPr/>
          <w:p w:rsidR="00000000" w:rsidDel="00000000" w:rsidP="00000000" w:rsidRDefault="00000000" w:rsidRPr="00000000" w14:paraId="0000004D">
            <w:pPr>
              <w:rPr/>
            </w:pPr>
            <w:r w:rsidDel="00000000" w:rsidR="00000000" w:rsidRPr="00000000">
              <w:rPr>
                <w:sz w:val="16"/>
                <w:szCs w:val="16"/>
                <w:rtl w:val="0"/>
              </w:rPr>
              <w:t xml:space="preserve">Non-political associations</w:t>
            </w:r>
            <w:r w:rsidDel="00000000" w:rsidR="00000000" w:rsidRPr="00000000">
              <w:rPr>
                <w:rtl w:val="0"/>
              </w:rPr>
            </w:r>
          </w:p>
        </w:tc>
        <w:tc>
          <w:tcPr/>
          <w:p w:rsidR="00000000" w:rsidDel="00000000" w:rsidP="00000000" w:rsidRDefault="00000000" w:rsidRPr="00000000" w14:paraId="0000004E">
            <w:pPr>
              <w:rPr/>
            </w:pPr>
            <w:r w:rsidDel="00000000" w:rsidR="00000000" w:rsidRPr="00000000">
              <w:rPr>
                <w:sz w:val="16"/>
                <w:szCs w:val="16"/>
                <w:rtl w:val="0"/>
              </w:rPr>
              <w:t xml:space="preserve">V-Dem v2canonpol</w:t>
            </w:r>
            <w:r w:rsidDel="00000000" w:rsidR="00000000" w:rsidRPr="00000000">
              <w:rPr>
                <w:rtl w:val="0"/>
              </w:rPr>
            </w:r>
          </w:p>
        </w:tc>
        <w:tc>
          <w:tcPr/>
          <w:p w:rsidR="00000000" w:rsidDel="00000000" w:rsidP="00000000" w:rsidRDefault="00000000" w:rsidRPr="00000000" w14:paraId="0000004F">
            <w:pPr>
              <w:rPr/>
            </w:pPr>
            <w:r w:rsidDel="00000000" w:rsidR="00000000" w:rsidRPr="00000000">
              <w:rPr>
                <w:sz w:val="16"/>
                <w:szCs w:val="16"/>
                <w:rtl w:val="0"/>
              </w:rPr>
              <w:t xml:space="preserve">1.01</w:t>
            </w:r>
            <w:r w:rsidDel="00000000" w:rsidR="00000000" w:rsidRPr="00000000">
              <w:rPr>
                <w:rtl w:val="0"/>
              </w:rPr>
            </w:r>
          </w:p>
        </w:tc>
        <w:tc>
          <w:tcPr/>
          <w:p w:rsidR="00000000" w:rsidDel="00000000" w:rsidP="00000000" w:rsidRDefault="00000000" w:rsidRPr="00000000" w14:paraId="00000050">
            <w:pPr>
              <w:rPr/>
            </w:pPr>
            <w:r w:rsidDel="00000000" w:rsidR="00000000" w:rsidRPr="00000000">
              <w:rPr>
                <w:sz w:val="16"/>
                <w:szCs w:val="16"/>
                <w:rtl w:val="0"/>
              </w:rPr>
              <w:t xml:space="preserve">0.27</w:t>
            </w:r>
            <w:r w:rsidDel="00000000" w:rsidR="00000000" w:rsidRPr="00000000">
              <w:rPr>
                <w:rtl w:val="0"/>
              </w:rPr>
            </w:r>
          </w:p>
        </w:tc>
        <w:tc>
          <w:tcPr/>
          <w:p w:rsidR="00000000" w:rsidDel="00000000" w:rsidP="00000000" w:rsidRDefault="00000000" w:rsidRPr="00000000" w14:paraId="00000051">
            <w:pPr>
              <w:rPr/>
            </w:pPr>
            <w:r w:rsidDel="00000000" w:rsidR="00000000" w:rsidRPr="00000000">
              <w:rPr>
                <w:sz w:val="16"/>
                <w:szCs w:val="16"/>
                <w:rtl w:val="0"/>
              </w:rPr>
              <w:t xml:space="preserve">Higher values indicate stronger independent associational engagement.</w:t>
            </w:r>
            <w:r w:rsidDel="00000000" w:rsidR="00000000" w:rsidRPr="00000000">
              <w:rPr>
                <w:rtl w:val="0"/>
              </w:rPr>
            </w:r>
          </w:p>
        </w:tc>
      </w:tr>
      <w:tr>
        <w:trPr>
          <w:cantSplit w:val="0"/>
          <w:tblHeader w:val="0"/>
        </w:trPr>
        <w:tc>
          <w:tcPr/>
          <w:p w:rsidR="00000000" w:rsidDel="00000000" w:rsidP="00000000" w:rsidRDefault="00000000" w:rsidRPr="00000000" w14:paraId="00000052">
            <w:pPr>
              <w:rPr/>
            </w:pPr>
            <w:r w:rsidDel="00000000" w:rsidR="00000000" w:rsidRPr="00000000">
              <w:rPr>
                <w:sz w:val="16"/>
                <w:szCs w:val="16"/>
                <w:rtl w:val="0"/>
              </w:rPr>
              <w:t xml:space="preserve">Political associations</w:t>
            </w:r>
            <w:r w:rsidDel="00000000" w:rsidR="00000000" w:rsidRPr="00000000">
              <w:rPr>
                <w:rtl w:val="0"/>
              </w:rPr>
            </w:r>
          </w:p>
        </w:tc>
        <w:tc>
          <w:tcPr/>
          <w:p w:rsidR="00000000" w:rsidDel="00000000" w:rsidP="00000000" w:rsidRDefault="00000000" w:rsidRPr="00000000" w14:paraId="00000053">
            <w:pPr>
              <w:rPr/>
            </w:pPr>
            <w:r w:rsidDel="00000000" w:rsidR="00000000" w:rsidRPr="00000000">
              <w:rPr>
                <w:sz w:val="16"/>
                <w:szCs w:val="16"/>
                <w:rtl w:val="0"/>
              </w:rPr>
              <w:t xml:space="preserve">V-Dem v2capolit</w:t>
            </w:r>
            <w:r w:rsidDel="00000000" w:rsidR="00000000" w:rsidRPr="00000000">
              <w:rPr>
                <w:rtl w:val="0"/>
              </w:rPr>
            </w:r>
          </w:p>
        </w:tc>
        <w:tc>
          <w:tcPr/>
          <w:p w:rsidR="00000000" w:rsidDel="00000000" w:rsidP="00000000" w:rsidRDefault="00000000" w:rsidRPr="00000000" w14:paraId="00000054">
            <w:pPr>
              <w:rPr/>
            </w:pPr>
            <w:r w:rsidDel="00000000" w:rsidR="00000000" w:rsidRPr="00000000">
              <w:rPr>
                <w:sz w:val="16"/>
                <w:szCs w:val="16"/>
                <w:rtl w:val="0"/>
              </w:rPr>
              <w:t xml:space="preserve">0.92</w:t>
            </w:r>
            <w:r w:rsidDel="00000000" w:rsidR="00000000" w:rsidRPr="00000000">
              <w:rPr>
                <w:rtl w:val="0"/>
              </w:rPr>
            </w:r>
          </w:p>
        </w:tc>
        <w:tc>
          <w:tcPr/>
          <w:p w:rsidR="00000000" w:rsidDel="00000000" w:rsidP="00000000" w:rsidRDefault="00000000" w:rsidRPr="00000000" w14:paraId="00000055">
            <w:pPr>
              <w:rPr/>
            </w:pPr>
            <w:r w:rsidDel="00000000" w:rsidR="00000000" w:rsidRPr="00000000">
              <w:rPr>
                <w:sz w:val="16"/>
                <w:szCs w:val="16"/>
                <w:rtl w:val="0"/>
              </w:rPr>
              <w:t xml:space="preserve">0.63</w:t>
            </w:r>
            <w:r w:rsidDel="00000000" w:rsidR="00000000" w:rsidRPr="00000000">
              <w:rPr>
                <w:rtl w:val="0"/>
              </w:rPr>
            </w:r>
          </w:p>
        </w:tc>
        <w:tc>
          <w:tcPr/>
          <w:p w:rsidR="00000000" w:rsidDel="00000000" w:rsidP="00000000" w:rsidRDefault="00000000" w:rsidRPr="00000000" w14:paraId="00000056">
            <w:pPr>
              <w:rPr/>
            </w:pPr>
            <w:r w:rsidDel="00000000" w:rsidR="00000000" w:rsidRPr="00000000">
              <w:rPr>
                <w:sz w:val="16"/>
                <w:szCs w:val="16"/>
                <w:rtl w:val="0"/>
              </w:rPr>
              <w:t xml:space="preserve">Higher values indicate stronger engagement in independent political associations.</w:t>
            </w:r>
            <w:r w:rsidDel="00000000" w:rsidR="00000000" w:rsidRPr="00000000">
              <w:rPr>
                <w:rtl w:val="0"/>
              </w:rPr>
            </w:r>
          </w:p>
        </w:tc>
      </w:tr>
      <w:tr>
        <w:trPr>
          <w:cantSplit w:val="0"/>
          <w:tblHeader w:val="0"/>
        </w:trPr>
        <w:tc>
          <w:tcPr/>
          <w:p w:rsidR="00000000" w:rsidDel="00000000" w:rsidP="00000000" w:rsidRDefault="00000000" w:rsidRPr="00000000" w14:paraId="00000057">
            <w:pPr>
              <w:rPr/>
            </w:pPr>
            <w:r w:rsidDel="00000000" w:rsidR="00000000" w:rsidRPr="00000000">
              <w:rPr>
                <w:sz w:val="16"/>
                <w:szCs w:val="16"/>
                <w:rtl w:val="0"/>
              </w:rPr>
              <w:t xml:space="preserve">Power by socioeconomic position</w:t>
            </w:r>
            <w:r w:rsidDel="00000000" w:rsidR="00000000" w:rsidRPr="00000000">
              <w:rPr>
                <w:rtl w:val="0"/>
              </w:rPr>
            </w:r>
          </w:p>
        </w:tc>
        <w:tc>
          <w:tcPr/>
          <w:p w:rsidR="00000000" w:rsidDel="00000000" w:rsidP="00000000" w:rsidRDefault="00000000" w:rsidRPr="00000000" w14:paraId="00000058">
            <w:pPr>
              <w:rPr/>
            </w:pPr>
            <w:r w:rsidDel="00000000" w:rsidR="00000000" w:rsidRPr="00000000">
              <w:rPr>
                <w:sz w:val="16"/>
                <w:szCs w:val="16"/>
                <w:rtl w:val="0"/>
              </w:rPr>
              <w:t xml:space="preserve">V-Dem v2pepwrses</w:t>
            </w:r>
            <w:r w:rsidDel="00000000" w:rsidR="00000000" w:rsidRPr="00000000">
              <w:rPr>
                <w:rtl w:val="0"/>
              </w:rPr>
            </w:r>
          </w:p>
        </w:tc>
        <w:tc>
          <w:tcPr/>
          <w:p w:rsidR="00000000" w:rsidDel="00000000" w:rsidP="00000000" w:rsidRDefault="00000000" w:rsidRPr="00000000" w14:paraId="00000059">
            <w:pPr>
              <w:rPr/>
            </w:pPr>
            <w:r w:rsidDel="00000000" w:rsidR="00000000" w:rsidRPr="00000000">
              <w:rPr>
                <w:sz w:val="16"/>
                <w:szCs w:val="16"/>
                <w:rtl w:val="0"/>
              </w:rPr>
              <w:t xml:space="preserve">1.58</w:t>
            </w:r>
            <w:r w:rsidDel="00000000" w:rsidR="00000000" w:rsidRPr="00000000">
              <w:rPr>
                <w:rtl w:val="0"/>
              </w:rPr>
            </w:r>
          </w:p>
        </w:tc>
        <w:tc>
          <w:tcPr/>
          <w:p w:rsidR="00000000" w:rsidDel="00000000" w:rsidP="00000000" w:rsidRDefault="00000000" w:rsidRPr="00000000" w14:paraId="0000005A">
            <w:pPr>
              <w:rPr/>
            </w:pPr>
            <w:r w:rsidDel="00000000" w:rsidR="00000000" w:rsidRPr="00000000">
              <w:rPr>
                <w:sz w:val="16"/>
                <w:szCs w:val="16"/>
                <w:rtl w:val="0"/>
              </w:rPr>
              <w:t xml:space="preserve">0.43</w:t>
            </w:r>
            <w:r w:rsidDel="00000000" w:rsidR="00000000" w:rsidRPr="00000000">
              <w:rPr>
                <w:rtl w:val="0"/>
              </w:rPr>
            </w:r>
          </w:p>
        </w:tc>
        <w:tc>
          <w:tcPr/>
          <w:p w:rsidR="00000000" w:rsidDel="00000000" w:rsidP="00000000" w:rsidRDefault="00000000" w:rsidRPr="00000000" w14:paraId="0000005B">
            <w:pPr>
              <w:rPr/>
            </w:pPr>
            <w:r w:rsidDel="00000000" w:rsidR="00000000" w:rsidRPr="00000000">
              <w:rPr>
                <w:sz w:val="16"/>
                <w:szCs w:val="16"/>
                <w:rtl w:val="0"/>
              </w:rPr>
              <w:t xml:space="preserve">Higher values indicate a less concentrated distribution of political power.</w:t>
            </w:r>
            <w:r w:rsidDel="00000000" w:rsidR="00000000" w:rsidRPr="00000000">
              <w:rPr>
                <w:rtl w:val="0"/>
              </w:rPr>
            </w:r>
          </w:p>
        </w:tc>
      </w:tr>
      <w:tr>
        <w:trPr>
          <w:cantSplit w:val="0"/>
          <w:tblHeader w:val="0"/>
        </w:trPr>
        <w:tc>
          <w:tcPr/>
          <w:p w:rsidR="00000000" w:rsidDel="00000000" w:rsidP="00000000" w:rsidRDefault="00000000" w:rsidRPr="00000000" w14:paraId="0000005C">
            <w:pPr>
              <w:rPr/>
            </w:pPr>
            <w:r w:rsidDel="00000000" w:rsidR="00000000" w:rsidRPr="00000000">
              <w:rPr>
                <w:sz w:val="16"/>
                <w:szCs w:val="16"/>
                <w:rtl w:val="0"/>
              </w:rPr>
              <w:t xml:space="preserve">Educational equality</w:t>
            </w:r>
            <w:r w:rsidDel="00000000" w:rsidR="00000000" w:rsidRPr="00000000">
              <w:rPr>
                <w:rtl w:val="0"/>
              </w:rPr>
            </w:r>
          </w:p>
        </w:tc>
        <w:tc>
          <w:tcPr/>
          <w:p w:rsidR="00000000" w:rsidDel="00000000" w:rsidP="00000000" w:rsidRDefault="00000000" w:rsidRPr="00000000" w14:paraId="0000005D">
            <w:pPr>
              <w:rPr/>
            </w:pPr>
            <w:r w:rsidDel="00000000" w:rsidR="00000000" w:rsidRPr="00000000">
              <w:rPr>
                <w:sz w:val="16"/>
                <w:szCs w:val="16"/>
                <w:rtl w:val="0"/>
              </w:rPr>
              <w:t xml:space="preserve">V-Dem v2peedueq</w:t>
            </w:r>
            <w:r w:rsidDel="00000000" w:rsidR="00000000" w:rsidRPr="00000000">
              <w:rPr>
                <w:rtl w:val="0"/>
              </w:rPr>
            </w:r>
          </w:p>
        </w:tc>
        <w:tc>
          <w:tcPr/>
          <w:p w:rsidR="00000000" w:rsidDel="00000000" w:rsidP="00000000" w:rsidRDefault="00000000" w:rsidRPr="00000000" w14:paraId="0000005E">
            <w:pPr>
              <w:rPr/>
            </w:pPr>
            <w:r w:rsidDel="00000000" w:rsidR="00000000" w:rsidRPr="00000000">
              <w:rPr>
                <w:sz w:val="16"/>
                <w:szCs w:val="16"/>
                <w:rtl w:val="0"/>
              </w:rPr>
              <w:t xml:space="preserve">3.19</w:t>
            </w:r>
            <w:r w:rsidDel="00000000" w:rsidR="00000000" w:rsidRPr="00000000">
              <w:rPr>
                <w:rtl w:val="0"/>
              </w:rPr>
            </w:r>
          </w:p>
        </w:tc>
        <w:tc>
          <w:tcPr/>
          <w:p w:rsidR="00000000" w:rsidDel="00000000" w:rsidP="00000000" w:rsidRDefault="00000000" w:rsidRPr="00000000" w14:paraId="0000005F">
            <w:pPr>
              <w:rPr/>
            </w:pPr>
            <w:r w:rsidDel="00000000" w:rsidR="00000000" w:rsidRPr="00000000">
              <w:rPr>
                <w:sz w:val="16"/>
                <w:szCs w:val="16"/>
                <w:rtl w:val="0"/>
              </w:rPr>
              <w:t xml:space="preserve">1.54</w:t>
            </w:r>
            <w:r w:rsidDel="00000000" w:rsidR="00000000" w:rsidRPr="00000000">
              <w:rPr>
                <w:rtl w:val="0"/>
              </w:rPr>
            </w:r>
          </w:p>
        </w:tc>
        <w:tc>
          <w:tcPr/>
          <w:p w:rsidR="00000000" w:rsidDel="00000000" w:rsidP="00000000" w:rsidRDefault="00000000" w:rsidRPr="00000000" w14:paraId="00000060">
            <w:pPr>
              <w:rPr/>
            </w:pPr>
            <w:r w:rsidDel="00000000" w:rsidR="00000000" w:rsidRPr="00000000">
              <w:rPr>
                <w:sz w:val="16"/>
                <w:szCs w:val="16"/>
                <w:rtl w:val="0"/>
              </w:rPr>
              <w:t xml:space="preserve">Higher values indicate more equal access to quality basic education.</w:t>
            </w:r>
            <w:r w:rsidDel="00000000" w:rsidR="00000000" w:rsidRPr="00000000">
              <w:rPr>
                <w:rtl w:val="0"/>
              </w:rPr>
            </w:r>
          </w:p>
        </w:tc>
      </w:tr>
      <w:tr>
        <w:trPr>
          <w:cantSplit w:val="0"/>
          <w:tblHeader w:val="0"/>
        </w:trPr>
        <w:tc>
          <w:tcPr/>
          <w:p w:rsidR="00000000" w:rsidDel="00000000" w:rsidP="00000000" w:rsidRDefault="00000000" w:rsidRPr="00000000" w14:paraId="00000061">
            <w:pPr>
              <w:rPr/>
            </w:pPr>
            <w:r w:rsidDel="00000000" w:rsidR="00000000" w:rsidRPr="00000000">
              <w:rPr>
                <w:sz w:val="16"/>
                <w:szCs w:val="16"/>
                <w:rtl w:val="0"/>
              </w:rPr>
              <w:t xml:space="preserve">Political education, primary</w:t>
            </w:r>
            <w:r w:rsidDel="00000000" w:rsidR="00000000" w:rsidRPr="00000000">
              <w:rPr>
                <w:rtl w:val="0"/>
              </w:rPr>
            </w:r>
          </w:p>
        </w:tc>
        <w:tc>
          <w:tcPr/>
          <w:p w:rsidR="00000000" w:rsidDel="00000000" w:rsidP="00000000" w:rsidRDefault="00000000" w:rsidRPr="00000000" w14:paraId="00000062">
            <w:pPr>
              <w:rPr/>
            </w:pPr>
            <w:r w:rsidDel="00000000" w:rsidR="00000000" w:rsidRPr="00000000">
              <w:rPr>
                <w:sz w:val="16"/>
                <w:szCs w:val="16"/>
                <w:rtl w:val="0"/>
              </w:rPr>
              <w:t xml:space="preserve">V-Dem v2edpoledprim</w:t>
            </w:r>
            <w:r w:rsidDel="00000000" w:rsidR="00000000" w:rsidRPr="00000000">
              <w:rPr>
                <w:rtl w:val="0"/>
              </w:rPr>
            </w:r>
          </w:p>
        </w:tc>
        <w:tc>
          <w:tcPr/>
          <w:p w:rsidR="00000000" w:rsidDel="00000000" w:rsidP="00000000" w:rsidRDefault="00000000" w:rsidRPr="00000000" w14:paraId="00000063">
            <w:pPr>
              <w:rPr/>
            </w:pPr>
            <w:r w:rsidDel="00000000" w:rsidR="00000000" w:rsidRPr="00000000">
              <w:rPr>
                <w:sz w:val="16"/>
                <w:szCs w:val="16"/>
                <w:rtl w:val="0"/>
              </w:rPr>
              <w:t xml:space="preserve">0.70</w:t>
            </w:r>
            <w:r w:rsidDel="00000000" w:rsidR="00000000" w:rsidRPr="00000000">
              <w:rPr>
                <w:rtl w:val="0"/>
              </w:rPr>
            </w:r>
          </w:p>
        </w:tc>
        <w:tc>
          <w:tcPr/>
          <w:p w:rsidR="00000000" w:rsidDel="00000000" w:rsidP="00000000" w:rsidRDefault="00000000" w:rsidRPr="00000000" w14:paraId="00000064">
            <w:pPr>
              <w:rPr/>
            </w:pPr>
            <w:r w:rsidDel="00000000" w:rsidR="00000000" w:rsidRPr="00000000">
              <w:rPr>
                <w:sz w:val="16"/>
                <w:szCs w:val="16"/>
                <w:rtl w:val="0"/>
              </w:rPr>
              <w:t xml:space="preserve">0.30</w:t>
            </w:r>
            <w:r w:rsidDel="00000000" w:rsidR="00000000" w:rsidRPr="00000000">
              <w:rPr>
                <w:rtl w:val="0"/>
              </w:rPr>
            </w:r>
          </w:p>
        </w:tc>
        <w:tc>
          <w:tcPr/>
          <w:p w:rsidR="00000000" w:rsidDel="00000000" w:rsidP="00000000" w:rsidRDefault="00000000" w:rsidRPr="00000000" w14:paraId="00000065">
            <w:pPr>
              <w:rPr/>
            </w:pPr>
            <w:r w:rsidDel="00000000" w:rsidR="00000000" w:rsidRPr="00000000">
              <w:rPr>
                <w:sz w:val="16"/>
                <w:szCs w:val="16"/>
                <w:rtl w:val="0"/>
              </w:rPr>
              <w:t xml:space="preserve">Higher values indicate more consistent political education.</w:t>
            </w:r>
            <w:r w:rsidDel="00000000" w:rsidR="00000000" w:rsidRPr="00000000">
              <w:rPr>
                <w:rtl w:val="0"/>
              </w:rPr>
            </w:r>
          </w:p>
        </w:tc>
      </w:tr>
      <w:tr>
        <w:trPr>
          <w:cantSplit w:val="0"/>
          <w:tblHeader w:val="0"/>
        </w:trPr>
        <w:tc>
          <w:tcPr/>
          <w:p w:rsidR="00000000" w:rsidDel="00000000" w:rsidP="00000000" w:rsidRDefault="00000000" w:rsidRPr="00000000" w14:paraId="00000066">
            <w:pPr>
              <w:rPr/>
            </w:pPr>
            <w:r w:rsidDel="00000000" w:rsidR="00000000" w:rsidRPr="00000000">
              <w:rPr>
                <w:sz w:val="16"/>
                <w:szCs w:val="16"/>
                <w:rtl w:val="0"/>
              </w:rPr>
              <w:t xml:space="preserve">Political education, secondary</w:t>
            </w:r>
            <w:r w:rsidDel="00000000" w:rsidR="00000000" w:rsidRPr="00000000">
              <w:rPr>
                <w:rtl w:val="0"/>
              </w:rPr>
            </w:r>
          </w:p>
        </w:tc>
        <w:tc>
          <w:tcPr/>
          <w:p w:rsidR="00000000" w:rsidDel="00000000" w:rsidP="00000000" w:rsidRDefault="00000000" w:rsidRPr="00000000" w14:paraId="00000067">
            <w:pPr>
              <w:rPr/>
            </w:pPr>
            <w:r w:rsidDel="00000000" w:rsidR="00000000" w:rsidRPr="00000000">
              <w:rPr>
                <w:sz w:val="16"/>
                <w:szCs w:val="16"/>
                <w:rtl w:val="0"/>
              </w:rPr>
              <w:t xml:space="preserve">V-Dem v2edpoledsec</w:t>
            </w:r>
            <w:r w:rsidDel="00000000" w:rsidR="00000000" w:rsidRPr="00000000">
              <w:rPr>
                <w:rtl w:val="0"/>
              </w:rPr>
            </w:r>
          </w:p>
        </w:tc>
        <w:tc>
          <w:tcPr/>
          <w:p w:rsidR="00000000" w:rsidDel="00000000" w:rsidP="00000000" w:rsidRDefault="00000000" w:rsidRPr="00000000" w14:paraId="00000068">
            <w:pPr>
              <w:rPr/>
            </w:pPr>
            <w:r w:rsidDel="00000000" w:rsidR="00000000" w:rsidRPr="00000000">
              <w:rPr>
                <w:sz w:val="16"/>
                <w:szCs w:val="16"/>
                <w:rtl w:val="0"/>
              </w:rPr>
              <w:t xml:space="preserve">0.95</w:t>
            </w:r>
            <w:r w:rsidDel="00000000" w:rsidR="00000000" w:rsidRPr="00000000">
              <w:rPr>
                <w:rtl w:val="0"/>
              </w:rPr>
            </w:r>
          </w:p>
        </w:tc>
        <w:tc>
          <w:tcPr/>
          <w:p w:rsidR="00000000" w:rsidDel="00000000" w:rsidP="00000000" w:rsidRDefault="00000000" w:rsidRPr="00000000" w14:paraId="00000069">
            <w:pPr>
              <w:rPr/>
            </w:pPr>
            <w:r w:rsidDel="00000000" w:rsidR="00000000" w:rsidRPr="00000000">
              <w:rPr>
                <w:sz w:val="16"/>
                <w:szCs w:val="16"/>
                <w:rtl w:val="0"/>
              </w:rPr>
              <w:t xml:space="preserve">0.65</w:t>
            </w:r>
            <w:r w:rsidDel="00000000" w:rsidR="00000000" w:rsidRPr="00000000">
              <w:rPr>
                <w:rtl w:val="0"/>
              </w:rPr>
            </w:r>
          </w:p>
        </w:tc>
        <w:tc>
          <w:tcPr/>
          <w:p w:rsidR="00000000" w:rsidDel="00000000" w:rsidP="00000000" w:rsidRDefault="00000000" w:rsidRPr="00000000" w14:paraId="0000006A">
            <w:pPr>
              <w:rPr/>
            </w:pPr>
            <w:r w:rsidDel="00000000" w:rsidR="00000000" w:rsidRPr="00000000">
              <w:rPr>
                <w:sz w:val="16"/>
                <w:szCs w:val="16"/>
                <w:rtl w:val="0"/>
              </w:rPr>
              <w:t xml:space="preserve">Higher values indicate more consistent political education.</w:t>
            </w:r>
            <w:r w:rsidDel="00000000" w:rsidR="00000000" w:rsidRPr="00000000">
              <w:rPr>
                <w:rtl w:val="0"/>
              </w:rPr>
            </w:r>
          </w:p>
        </w:tc>
      </w:tr>
      <w:tr>
        <w:trPr>
          <w:cantSplit w:val="0"/>
          <w:tblHeader w:val="0"/>
        </w:trPr>
        <w:tc>
          <w:tcPr/>
          <w:p w:rsidR="00000000" w:rsidDel="00000000" w:rsidP="00000000" w:rsidRDefault="00000000" w:rsidRPr="00000000" w14:paraId="0000006B">
            <w:pPr>
              <w:rPr/>
            </w:pPr>
            <w:r w:rsidDel="00000000" w:rsidR="00000000" w:rsidRPr="00000000">
              <w:rPr>
                <w:sz w:val="16"/>
                <w:szCs w:val="16"/>
                <w:rtl w:val="0"/>
              </w:rPr>
              <w:t xml:space="preserve">Rights and duties in curriculum</w:t>
            </w:r>
            <w:r w:rsidDel="00000000" w:rsidR="00000000" w:rsidRPr="00000000">
              <w:rPr>
                <w:rtl w:val="0"/>
              </w:rPr>
            </w:r>
          </w:p>
        </w:tc>
        <w:tc>
          <w:tcPr/>
          <w:p w:rsidR="00000000" w:rsidDel="00000000" w:rsidP="00000000" w:rsidRDefault="00000000" w:rsidRPr="00000000" w14:paraId="0000006C">
            <w:pPr>
              <w:rPr/>
            </w:pPr>
            <w:r w:rsidDel="00000000" w:rsidR="00000000" w:rsidRPr="00000000">
              <w:rPr>
                <w:sz w:val="16"/>
                <w:szCs w:val="16"/>
                <w:rtl w:val="0"/>
              </w:rPr>
              <w:t xml:space="preserve">V-Dem v2edpoledrights</w:t>
            </w:r>
            <w:r w:rsidDel="00000000" w:rsidR="00000000" w:rsidRPr="00000000">
              <w:rPr>
                <w:rtl w:val="0"/>
              </w:rPr>
            </w:r>
          </w:p>
        </w:tc>
        <w:tc>
          <w:tcPr/>
          <w:p w:rsidR="00000000" w:rsidDel="00000000" w:rsidP="00000000" w:rsidRDefault="00000000" w:rsidRPr="00000000" w14:paraId="0000006D">
            <w:pPr>
              <w:rPr/>
            </w:pPr>
            <w:r w:rsidDel="00000000" w:rsidR="00000000" w:rsidRPr="00000000">
              <w:rPr>
                <w:sz w:val="16"/>
                <w:szCs w:val="16"/>
                <w:rtl w:val="0"/>
              </w:rPr>
              <w:t xml:space="preserve">2.40</w:t>
            </w:r>
            <w:r w:rsidDel="00000000" w:rsidR="00000000" w:rsidRPr="00000000">
              <w:rPr>
                <w:rtl w:val="0"/>
              </w:rPr>
            </w:r>
          </w:p>
        </w:tc>
        <w:tc>
          <w:tcPr/>
          <w:p w:rsidR="00000000" w:rsidDel="00000000" w:rsidP="00000000" w:rsidRDefault="00000000" w:rsidRPr="00000000" w14:paraId="0000006E">
            <w:pPr>
              <w:rPr/>
            </w:pPr>
            <w:r w:rsidDel="00000000" w:rsidR="00000000" w:rsidRPr="00000000">
              <w:rPr>
                <w:sz w:val="16"/>
                <w:szCs w:val="16"/>
                <w:rtl w:val="0"/>
              </w:rPr>
              <w:t xml:space="preserve">2.10</w:t>
            </w:r>
            <w:r w:rsidDel="00000000" w:rsidR="00000000" w:rsidRPr="00000000">
              <w:rPr>
                <w:rtl w:val="0"/>
              </w:rPr>
            </w:r>
          </w:p>
        </w:tc>
        <w:tc>
          <w:tcPr/>
          <w:p w:rsidR="00000000" w:rsidDel="00000000" w:rsidP="00000000" w:rsidRDefault="00000000" w:rsidRPr="00000000" w14:paraId="0000006F">
            <w:pPr>
              <w:rPr/>
            </w:pPr>
            <w:r w:rsidDel="00000000" w:rsidR="00000000" w:rsidRPr="00000000">
              <w:rPr>
                <w:sz w:val="16"/>
                <w:szCs w:val="16"/>
                <w:rtl w:val="0"/>
              </w:rPr>
              <w:t xml:space="preserve">Higher values indicate more extensive coverage of political rights and duties.</w:t>
            </w:r>
            <w:r w:rsidDel="00000000" w:rsidR="00000000" w:rsidRPr="00000000">
              <w:rPr>
                <w:rtl w:val="0"/>
              </w:rPr>
            </w:r>
          </w:p>
        </w:tc>
      </w:tr>
      <w:tr>
        <w:trPr>
          <w:cantSplit w:val="0"/>
          <w:tblHeader w:val="0"/>
        </w:trPr>
        <w:tc>
          <w:tcPr/>
          <w:p w:rsidR="00000000" w:rsidDel="00000000" w:rsidP="00000000" w:rsidRDefault="00000000" w:rsidRPr="00000000" w14:paraId="00000070">
            <w:pPr>
              <w:rPr/>
            </w:pPr>
            <w:r w:rsidDel="00000000" w:rsidR="00000000" w:rsidRPr="00000000">
              <w:rPr>
                <w:sz w:val="16"/>
                <w:szCs w:val="16"/>
                <w:rtl w:val="0"/>
              </w:rPr>
              <w:t xml:space="preserve">Extracurricular civic promotion</w:t>
            </w:r>
            <w:r w:rsidDel="00000000" w:rsidR="00000000" w:rsidRPr="00000000">
              <w:rPr>
                <w:rtl w:val="0"/>
              </w:rPr>
            </w:r>
          </w:p>
        </w:tc>
        <w:tc>
          <w:tcPr/>
          <w:p w:rsidR="00000000" w:rsidDel="00000000" w:rsidP="00000000" w:rsidRDefault="00000000" w:rsidRPr="00000000" w14:paraId="00000071">
            <w:pPr>
              <w:rPr/>
            </w:pPr>
            <w:r w:rsidDel="00000000" w:rsidR="00000000" w:rsidRPr="00000000">
              <w:rPr>
                <w:sz w:val="16"/>
                <w:szCs w:val="16"/>
                <w:rtl w:val="0"/>
              </w:rPr>
              <w:t xml:space="preserve">V-Dem v2edscextracur</w:t>
            </w:r>
            <w:r w:rsidDel="00000000" w:rsidR="00000000" w:rsidRPr="00000000">
              <w:rPr>
                <w:rtl w:val="0"/>
              </w:rPr>
            </w:r>
          </w:p>
        </w:tc>
        <w:tc>
          <w:tcPr/>
          <w:p w:rsidR="00000000" w:rsidDel="00000000" w:rsidP="00000000" w:rsidRDefault="00000000" w:rsidRPr="00000000" w14:paraId="00000072">
            <w:pPr>
              <w:rPr/>
            </w:pPr>
            <w:r w:rsidDel="00000000" w:rsidR="00000000" w:rsidRPr="00000000">
              <w:rPr>
                <w:sz w:val="16"/>
                <w:szCs w:val="16"/>
                <w:rtl w:val="0"/>
              </w:rPr>
              <w:t xml:space="preserve">0.95</w:t>
            </w:r>
            <w:r w:rsidDel="00000000" w:rsidR="00000000" w:rsidRPr="00000000">
              <w:rPr>
                <w:rtl w:val="0"/>
              </w:rPr>
            </w:r>
          </w:p>
        </w:tc>
        <w:tc>
          <w:tcPr/>
          <w:p w:rsidR="00000000" w:rsidDel="00000000" w:rsidP="00000000" w:rsidRDefault="00000000" w:rsidRPr="00000000" w14:paraId="00000073">
            <w:pPr>
              <w:rPr/>
            </w:pPr>
            <w:r w:rsidDel="00000000" w:rsidR="00000000" w:rsidRPr="00000000">
              <w:rPr>
                <w:sz w:val="16"/>
                <w:szCs w:val="16"/>
                <w:rtl w:val="0"/>
              </w:rPr>
              <w:t xml:space="preserve">0.65</w:t>
            </w:r>
            <w:r w:rsidDel="00000000" w:rsidR="00000000" w:rsidRPr="00000000">
              <w:rPr>
                <w:rtl w:val="0"/>
              </w:rPr>
            </w:r>
          </w:p>
        </w:tc>
        <w:tc>
          <w:tcPr/>
          <w:p w:rsidR="00000000" w:rsidDel="00000000" w:rsidP="00000000" w:rsidRDefault="00000000" w:rsidRPr="00000000" w14:paraId="00000074">
            <w:pPr>
              <w:rPr/>
            </w:pPr>
            <w:r w:rsidDel="00000000" w:rsidR="00000000" w:rsidRPr="00000000">
              <w:rPr>
                <w:sz w:val="16"/>
                <w:szCs w:val="16"/>
                <w:rtl w:val="0"/>
              </w:rPr>
              <w:t xml:space="preserve">Higher values indicate stronger school encouragement of civic activities.</w:t>
            </w:r>
            <w:r w:rsidDel="00000000" w:rsidR="00000000" w:rsidRPr="00000000">
              <w:rPr>
                <w:rtl w:val="0"/>
              </w:rPr>
            </w:r>
          </w:p>
        </w:tc>
      </w:tr>
    </w:tbl>
    <w:p w:rsidR="00000000" w:rsidDel="00000000" w:rsidP="00000000" w:rsidRDefault="00000000" w:rsidRPr="00000000" w14:paraId="00000075">
      <w:pPr>
        <w:spacing w:after="120" w:lineRule="auto"/>
        <w:rPr/>
      </w:pPr>
      <w:r w:rsidDel="00000000" w:rsidR="00000000" w:rsidRPr="00000000">
        <w:rPr>
          <w:i w:val="1"/>
          <w:iCs w:val="1"/>
          <w:color w:val="666666"/>
          <w:rtl w:val="0"/>
        </w:rPr>
        <w:t xml:space="preserve">Source: V-Dem and QoG indicators reported in the supporting draft notes. Indicator scales differ across variables and are interpreted only as contextual evidence, not as direct youth work outcome measures.</w:t>
      </w:r>
      <w:r w:rsidDel="00000000" w:rsidR="00000000" w:rsidRPr="00000000">
        <w:rPr>
          <w:rtl w:val="0"/>
        </w:rPr>
      </w:r>
    </w:p>
    <w:p w:rsidR="00000000" w:rsidDel="00000000" w:rsidP="00000000" w:rsidRDefault="00000000" w:rsidRPr="00000000" w14:paraId="00000076">
      <w:pPr>
        <w:spacing w:after="120" w:lineRule="auto"/>
        <w:ind w:firstLine="432"/>
        <w:rPr/>
      </w:pPr>
      <w:r w:rsidDel="00000000" w:rsidR="00000000" w:rsidRPr="00000000">
        <w:rPr>
          <w:rtl w:val="0"/>
        </w:rPr>
        <w:t xml:space="preserve">A measurement caveat is necessary. V-Dem and QoG indicators provide cross-national comparability, but they do not measure youth work provision, youth participation quality, or the lived experience of civic learning directly. They also operate at national level and therefore can conceal municipal, rural-urban, ethnic, linguistic, and socioeconomic differences that are central to youth work practice. For that reason, the indicators are interpreted alongside documents and qualitative material rather than as stand-alone evidence.</w:t>
      </w:r>
    </w:p>
    <w:p w:rsidR="00000000" w:rsidDel="00000000" w:rsidP="00000000" w:rsidRDefault="00000000" w:rsidRPr="00000000" w14:paraId="00000077">
      <w:pPr>
        <w:pStyle w:val="Heading2"/>
        <w:spacing w:after="80" w:lineRule="auto"/>
        <w:rPr/>
      </w:pPr>
      <w:r w:rsidDel="00000000" w:rsidR="00000000" w:rsidRPr="00000000">
        <w:rPr>
          <w:rtl w:val="0"/>
        </w:rPr>
        <w:t xml:space="preserve">3.3 Document and Policy Analysis</w:t>
      </w:r>
    </w:p>
    <w:p w:rsidR="00000000" w:rsidDel="00000000" w:rsidP="00000000" w:rsidRDefault="00000000" w:rsidRPr="00000000" w14:paraId="00000078">
      <w:pPr>
        <w:spacing w:after="120" w:lineRule="auto"/>
        <w:ind w:firstLine="432"/>
        <w:rPr/>
      </w:pPr>
      <w:r w:rsidDel="00000000" w:rsidR="00000000" w:rsidRPr="00000000">
        <w:rPr>
          <w:rtl w:val="0"/>
        </w:rPr>
        <w:t xml:space="preserve">The document analysis examined national legal and policy materials relevant to youth work, youth participation, and civic engagement. For Estonia, the analysis focused on the Youth Work Act, the Youth Sector Development Plan 2021-2035, youth worker occupational standards, and youth policy materials summarised through Youth Wiki. For Georgia, it focused on the National Youth Policy Concept 2020-2030, the State Youth Strategy 2023-2026, the role of the Georgian Youth Agency, and materials concerning CSO and donor-supported youth initiatives. Documents were coded through Scott’s (2014) three institutional pillars: regulative authority, normative professional infrastructure, and cultural-cognitive legitimacy.</w:t>
      </w:r>
    </w:p>
    <w:p w:rsidR="00000000" w:rsidDel="00000000" w:rsidP="00000000" w:rsidRDefault="00000000" w:rsidRPr="00000000" w14:paraId="00000079">
      <w:pPr>
        <w:pStyle w:val="Heading2"/>
        <w:spacing w:after="80" w:lineRule="auto"/>
        <w:rPr/>
      </w:pPr>
      <w:r w:rsidDel="00000000" w:rsidR="00000000" w:rsidRPr="00000000">
        <w:rPr>
          <w:rtl w:val="0"/>
        </w:rPr>
        <w:t xml:space="preserve">3.4 Qualitative Material and Analysis</w:t>
      </w:r>
    </w:p>
    <w:p w:rsidR="00000000" w:rsidDel="00000000" w:rsidP="00000000" w:rsidRDefault="00000000" w:rsidRPr="00000000" w14:paraId="0000007A">
      <w:pPr>
        <w:spacing w:after="120" w:lineRule="auto"/>
        <w:ind w:firstLine="432"/>
        <w:rPr/>
      </w:pPr>
      <w:r w:rsidDel="00000000" w:rsidR="00000000" w:rsidRPr="00000000">
        <w:rPr>
          <w:rtl w:val="0"/>
        </w:rPr>
        <w:t xml:space="preserve">The qualitative strand consists of sixteen records collected in 2024: eight Estonian expert interviews and eight Georgian qualitative records. The Estonian material includes interviews with actors from youth work education, youth centres, municipal and organisational practice, youth councils, youth organisations, and broader youth work advocacy. The Georgian material includes two civic education teacher interviews, three local CSO representative interviews, and three youth group discussions with local young people. Because the Georgian file includes group discussions as well as interviews, the analysis refers to the full set as Georgian qualitative material when precision is required.</w:t>
      </w:r>
    </w:p>
    <w:p w:rsidR="00000000" w:rsidDel="00000000" w:rsidP="00000000" w:rsidRDefault="00000000" w:rsidRPr="00000000" w14:paraId="0000007B">
      <w:pPr>
        <w:spacing w:after="120" w:lineRule="auto"/>
        <w:ind w:firstLine="432"/>
        <w:rPr/>
      </w:pPr>
      <w:r w:rsidDel="00000000" w:rsidR="00000000" w:rsidRPr="00000000">
        <w:rPr>
          <w:rtl w:val="0"/>
        </w:rPr>
        <w:t xml:space="preserve">All respondents are anonymised in the analysis. Estonian records are referred to as EST-R1 to EST-R8, and Georgian records as GEO-R1 to GEO-R8. Direct quotations are used selectively to illustrate mechanisms and institutional dynamics rather than to summarise entire interviews. Analysis followed a thematic procedure: initial open coding, focused coding around institutional anchoring, inclusion, participation, democratic learning, resources, and constraints, and cross-case comparison between Estonia and Georgia. Particular attention was paid to tensions between policy design and practice, formal participation and informal engagement, state provision and CSO initiative, and continuity and project dependence.</w:t>
      </w:r>
    </w:p>
    <w:p w:rsidR="00000000" w:rsidDel="00000000" w:rsidP="00000000" w:rsidRDefault="00000000" w:rsidRPr="00000000" w14:paraId="0000007C">
      <w:pPr>
        <w:spacing w:after="120" w:lineRule="auto"/>
        <w:ind w:firstLine="432"/>
        <w:rPr/>
      </w:pPr>
      <w:r w:rsidDel="00000000" w:rsidR="00000000" w:rsidRPr="00000000">
        <w:rPr>
          <w:rtl w:val="0"/>
        </w:rPr>
        <w:t xml:space="preserve">The qualitative material has limitations. It overrepresents stakeholders already connected to youth work, civic education, CSOs, or youth participation. It cannot establish the individual-level causal impact of youth work on young people’s values. The Georgian material includes youth voices through group discussions, while the Estonian material is more expert-oriented, which creates an asymmetry in the type of evidence available across the two cases. These limitations do not invalidate the comparison, but they require caution: the study is best read as an analysis of institutional mechanisms and perceived effects rather than as an impact evaluation.</w:t>
      </w:r>
    </w:p>
    <w:p w:rsidR="00000000" w:rsidDel="00000000" w:rsidP="00000000" w:rsidRDefault="00000000" w:rsidRPr="00000000" w14:paraId="0000007D">
      <w:pPr>
        <w:pStyle w:val="Heading1"/>
        <w:spacing w:after="120" w:before="240" w:lineRule="auto"/>
        <w:rPr/>
      </w:pPr>
      <w:r w:rsidDel="00000000" w:rsidR="00000000" w:rsidRPr="00000000">
        <w:rPr>
          <w:rtl w:val="0"/>
        </w:rPr>
        <w:t xml:space="preserve">4. Macro-Level Context: Estonia and Georgia in V-Dem and QoG Data</w:t>
      </w:r>
    </w:p>
    <w:p w:rsidR="00000000" w:rsidDel="00000000" w:rsidP="00000000" w:rsidRDefault="00000000" w:rsidRPr="00000000" w14:paraId="0000007E">
      <w:pPr>
        <w:pStyle w:val="Heading2"/>
        <w:spacing w:after="80" w:lineRule="auto"/>
        <w:rPr/>
      </w:pPr>
      <w:r w:rsidDel="00000000" w:rsidR="00000000" w:rsidRPr="00000000">
        <w:rPr>
          <w:rtl w:val="0"/>
        </w:rPr>
        <w:t xml:space="preserve">4.1 Inclusion, Equality, and Political Exclusion</w:t>
      </w:r>
    </w:p>
    <w:p w:rsidR="00000000" w:rsidDel="00000000" w:rsidP="00000000" w:rsidRDefault="00000000" w:rsidRPr="00000000" w14:paraId="0000007F">
      <w:pPr>
        <w:spacing w:after="120" w:lineRule="auto"/>
        <w:ind w:firstLine="432"/>
        <w:rPr/>
      </w:pPr>
      <w:r w:rsidDel="00000000" w:rsidR="00000000" w:rsidRPr="00000000">
        <w:rPr>
          <w:rtl w:val="0"/>
        </w:rPr>
        <w:t xml:space="preserve">The macro-level indicators establish a structural contrast that helps interpret the qualitative findings. Across the V-Dem political exclusion indicators, Estonia scores lower than Georgia, indicating less exclusion by geography, gender, and social group. The differences are not enormous on every indicator, but the pattern is consistent. Estonia’s scores of 0.07 for urban-rural exclusion, 0.03 for gender-based exclusion, and 0.11 for social group exclusion compare with Georgia’s 0.15, 0.09, and 0.16 respectively. These values suggest that Georgia’s youth work field operates in a more unequal structural environment, particularly where rural location, minority status, and language interact.</w:t>
      </w:r>
    </w:p>
    <w:p w:rsidR="00000000" w:rsidDel="00000000" w:rsidP="00000000" w:rsidRDefault="00000000" w:rsidRPr="00000000" w14:paraId="00000080">
      <w:pPr>
        <w:spacing w:after="120" w:lineRule="auto"/>
        <w:ind w:firstLine="432"/>
        <w:rPr/>
      </w:pPr>
      <w:r w:rsidDel="00000000" w:rsidR="00000000" w:rsidRPr="00000000">
        <w:rPr>
          <w:rtl w:val="0"/>
        </w:rPr>
        <w:t xml:space="preserve">The QoG equal opportunity indicator reinforces this interpretation. Estonia’s score of 9 out of 10 indicates a stronger framework of equal opportunity and implementation, while Georgia’s score of 5 indicates weaker enforcement and more uneven practical access. The V-Dem gender equality in civil liberties indicator points in the same direction: Estonia scores 3.27 and Georgia 2.15. These differences matter because youth work systems do not operate on a blank institutional canvas. Where gender equality, educational access, and regional opportunity are uneven, youth work must compensate for barriers that exceed the capacity of individual projects.</w:t>
      </w:r>
    </w:p>
    <w:p w:rsidR="00000000" w:rsidDel="00000000" w:rsidP="00000000" w:rsidRDefault="00000000" w:rsidRPr="00000000" w14:paraId="00000081">
      <w:pPr>
        <w:pStyle w:val="Heading2"/>
        <w:spacing w:after="80" w:lineRule="auto"/>
        <w:rPr/>
      </w:pPr>
      <w:r w:rsidDel="00000000" w:rsidR="00000000" w:rsidRPr="00000000">
        <w:rPr>
          <w:rtl w:val="0"/>
        </w:rPr>
        <w:t xml:space="preserve">4.2 Associational Life and Political Power</w:t>
      </w:r>
    </w:p>
    <w:p w:rsidR="00000000" w:rsidDel="00000000" w:rsidP="00000000" w:rsidRDefault="00000000" w:rsidRPr="00000000" w14:paraId="00000082">
      <w:pPr>
        <w:spacing w:after="120" w:lineRule="auto"/>
        <w:ind w:firstLine="432"/>
        <w:rPr/>
      </w:pPr>
      <w:r w:rsidDel="00000000" w:rsidR="00000000" w:rsidRPr="00000000">
        <w:rPr>
          <w:rtl w:val="0"/>
        </w:rPr>
        <w:t xml:space="preserve">The contrast is sharper in associational engagement. Estonia’s score on independent non-political associations is 1.01, while Georgia’s is 0.27. Estonia also scores higher on independent political associations, 0.92 compared with Georgia’s 0.63. These figures suggest that Estonian youth work can draw upon a denser associational environment, whereas Georgian youth work-like activity often helps create civic infrastructure where it is otherwise thin. In Estonia, youth work may channel young people into existing civic pathways. In Georgia, CSOs and school-based civic initiatives often become the pathway itself.</w:t>
      </w:r>
    </w:p>
    <w:p w:rsidR="00000000" w:rsidDel="00000000" w:rsidP="00000000" w:rsidRDefault="00000000" w:rsidRPr="00000000" w14:paraId="00000083">
      <w:pPr>
        <w:spacing w:after="120" w:lineRule="auto"/>
        <w:ind w:firstLine="432"/>
        <w:rPr/>
      </w:pPr>
      <w:r w:rsidDel="00000000" w:rsidR="00000000" w:rsidRPr="00000000">
        <w:rPr>
          <w:rtl w:val="0"/>
        </w:rPr>
        <w:t xml:space="preserve">The indicator for power distributed by socioeconomic position deepens this analysis. Estonia’s score of 1.58 indicates a more open distribution of political power than Georgia’s score of 0.43, where influence is heavily concentrated among wealthier groups. This affects the democratic meaning of youth participation. In a context where ordinary citizens have limited influence over decision-making, youth engagement may remain expressive without becoming institutionally consequential. This helps explain why Georgian respondents often described active young people and vibrant CSO projects alongside frustration with formal institutions and municipal decision-making.</w:t>
      </w:r>
    </w:p>
    <w:p w:rsidR="00000000" w:rsidDel="00000000" w:rsidP="00000000" w:rsidRDefault="00000000" w:rsidRPr="00000000" w14:paraId="00000084">
      <w:pPr>
        <w:pStyle w:val="Heading2"/>
        <w:spacing w:after="80" w:lineRule="auto"/>
        <w:rPr/>
      </w:pPr>
      <w:r w:rsidDel="00000000" w:rsidR="00000000" w:rsidRPr="00000000">
        <w:rPr>
          <w:rtl w:val="0"/>
        </w:rPr>
        <w:t xml:space="preserve">4.3 Education and Civic Learning</w:t>
      </w:r>
    </w:p>
    <w:p w:rsidR="00000000" w:rsidDel="00000000" w:rsidP="00000000" w:rsidRDefault="00000000" w:rsidRPr="00000000" w14:paraId="00000085">
      <w:pPr>
        <w:spacing w:after="120" w:lineRule="auto"/>
        <w:ind w:firstLine="432"/>
        <w:rPr/>
      </w:pPr>
      <w:r w:rsidDel="00000000" w:rsidR="00000000" w:rsidRPr="00000000">
        <w:rPr>
          <w:rtl w:val="0"/>
        </w:rPr>
        <w:t xml:space="preserve">Educational equality is central because youth work and civic education are mutually connected. Estonia’s V-Dem educational equality score is 3.19, while Georgia’s is 1.54. This does not mean that Estonia has solved all access problems, but it indicates a stronger baseline of educational provision. Georgia’s lower score corresponds with interview evidence about textbook limitations, inadequate resources, language barriers, and the difficulty of turning civic education into practice. One Georgian teacher argued that textbooks provide only a general overview of participation and lack the detail needed to help young people understand youth councils, participatory budgeting, and local self-government in practice.</w:t>
      </w:r>
    </w:p>
    <w:p w:rsidR="00000000" w:rsidDel="00000000" w:rsidP="00000000" w:rsidRDefault="00000000" w:rsidRPr="00000000" w14:paraId="00000086">
      <w:pPr>
        <w:spacing w:after="120" w:lineRule="auto"/>
        <w:ind w:firstLine="432"/>
        <w:rPr/>
      </w:pPr>
      <w:r w:rsidDel="00000000" w:rsidR="00000000" w:rsidRPr="00000000">
        <w:rPr>
          <w:rtl w:val="0"/>
        </w:rPr>
        <w:t xml:space="preserve">Civic education indicators show a similar pattern. Estonia scores 0.70 on political education in primary schools and 0.95 in secondary schools, compared with Georgia’s 0.30 and 0.65. On political rights and duties in the curriculum, the difference is smaller, 2.40 versus 2.10. On extracurricular civic promotion, Estonia’s 0.95 exceeds Georgia’s 0.65. These data suggest that Estonia’s formal education system more consistently reinforces the civic learning that youth work seeks to develop, while Georgia relies more heavily on individual teachers, CSOs, donors, and motivated schools to compensate for weaker systemic support.</w:t>
      </w:r>
    </w:p>
    <w:p w:rsidR="00000000" w:rsidDel="00000000" w:rsidP="00000000" w:rsidRDefault="00000000" w:rsidRPr="00000000" w14:paraId="00000087">
      <w:pPr>
        <w:pStyle w:val="Heading1"/>
        <w:spacing w:after="120" w:before="240" w:lineRule="auto"/>
        <w:rPr/>
      </w:pPr>
      <w:r w:rsidDel="00000000" w:rsidR="00000000" w:rsidRPr="00000000">
        <w:rPr>
          <w:rtl w:val="0"/>
        </w:rPr>
        <w:t xml:space="preserve">5. Findings</w:t>
      </w:r>
    </w:p>
    <w:p w:rsidR="00000000" w:rsidDel="00000000" w:rsidP="00000000" w:rsidRDefault="00000000" w:rsidRPr="00000000" w14:paraId="00000088">
      <w:pPr>
        <w:pStyle w:val="Heading2"/>
        <w:spacing w:after="80" w:lineRule="auto"/>
        <w:rPr/>
      </w:pPr>
      <w:r w:rsidDel="00000000" w:rsidR="00000000" w:rsidRPr="00000000">
        <w:rPr>
          <w:rtl w:val="0"/>
        </w:rPr>
        <w:t xml:space="preserve">5.1 Institutional Anchoring: Stability and Recognition in Estonia</w:t>
      </w:r>
    </w:p>
    <w:p w:rsidR="00000000" w:rsidDel="00000000" w:rsidP="00000000" w:rsidRDefault="00000000" w:rsidRPr="00000000" w14:paraId="00000089">
      <w:pPr>
        <w:spacing w:after="120" w:lineRule="auto"/>
        <w:ind w:firstLine="432"/>
        <w:rPr/>
      </w:pPr>
      <w:r w:rsidDel="00000000" w:rsidR="00000000" w:rsidRPr="00000000">
        <w:rPr>
          <w:rtl w:val="0"/>
        </w:rPr>
        <w:t xml:space="preserve">Estonia’s youth work system is characterised by relatively strong regulative and normative institutionalisation. The Youth Work Act, municipal responsibility, youth centres, youth councils, occupational standards, and university-level youth work education create a structure in which youth work is not merely an optional activity but part of the public architecture of youth development. Interviewees described this architecture as important for both legitimacy and continuity. Youth work is linked to education rather than treated only as remedial social work, a distinction that widens its democratic and developmental mandate.</w:t>
      </w:r>
    </w:p>
    <w:p w:rsidR="00000000" w:rsidDel="00000000" w:rsidP="00000000" w:rsidRDefault="00000000" w:rsidRPr="00000000" w14:paraId="0000008A">
      <w:pPr>
        <w:spacing w:after="120" w:lineRule="auto"/>
        <w:ind w:firstLine="432"/>
        <w:rPr/>
      </w:pPr>
      <w:r w:rsidDel="00000000" w:rsidR="00000000" w:rsidRPr="00000000">
        <w:rPr>
          <w:rtl w:val="0"/>
        </w:rPr>
        <w:t xml:space="preserve">The democratic significance of this structure lies in repetition. Young people encounter youth work through school councils, open youth centres, hobby education, camps, youth councils, international exchanges, and local initiatives. One Estonian respondent emphasised that young people are "already a specific group in our society who should have a voice now," not only future adults being prepared for later citizenship. This is a strong democratic statement: youth work is not merely preparation for participation, but a setting in which participation can be practised in the present.</w:t>
      </w:r>
    </w:p>
    <w:p w:rsidR="00000000" w:rsidDel="00000000" w:rsidP="00000000" w:rsidRDefault="00000000" w:rsidRPr="00000000" w14:paraId="0000008B">
      <w:pPr>
        <w:spacing w:after="120" w:lineRule="auto"/>
        <w:ind w:firstLine="432"/>
        <w:rPr/>
      </w:pPr>
      <w:r w:rsidDel="00000000" w:rsidR="00000000" w:rsidRPr="00000000">
        <w:rPr>
          <w:rtl w:val="0"/>
        </w:rPr>
        <w:t xml:space="preserve">However, Estonia also reveals the limits of institutionalisation. Respondents described weak public recognition, uneven municipal resources, and the difficulty of reaching young people who are not already confident, motivated, or connected. One respondent observed that wealthier families would still provide cultural, educational, and travel opportunities if youth work disappeared, while young people from low-income or less supportive families would lose a crucial "lifeline." This highlights a distributional problem: formal provision improves the chances of inclusion, but does not automatically eliminate inequality in who benefits most from youth work.</w:t>
      </w:r>
    </w:p>
    <w:p w:rsidR="00000000" w:rsidDel="00000000" w:rsidP="00000000" w:rsidRDefault="00000000" w:rsidRPr="00000000" w14:paraId="0000008C">
      <w:pPr>
        <w:pStyle w:val="Heading2"/>
        <w:spacing w:after="80" w:lineRule="auto"/>
        <w:rPr/>
      </w:pPr>
      <w:r w:rsidDel="00000000" w:rsidR="00000000" w:rsidRPr="00000000">
        <w:rPr>
          <w:rtl w:val="0"/>
        </w:rPr>
        <w:t xml:space="preserve">5.2 Fragmented but Responsive Practice in Georgia</w:t>
      </w:r>
    </w:p>
    <w:p w:rsidR="00000000" w:rsidDel="00000000" w:rsidP="00000000" w:rsidRDefault="00000000" w:rsidRPr="00000000" w14:paraId="0000008D">
      <w:pPr>
        <w:spacing w:after="120" w:lineRule="auto"/>
        <w:ind w:firstLine="432"/>
        <w:rPr/>
      </w:pPr>
      <w:r w:rsidDel="00000000" w:rsidR="00000000" w:rsidRPr="00000000">
        <w:rPr>
          <w:rtl w:val="0"/>
        </w:rPr>
        <w:t xml:space="preserve">Georgia’s youth work field is less formally institutionalised, but it is not empty. The qualitative material shows a dense patchwork of civic education, CSO activity, donor-funded programmes, environmental initiatives, volunteering, debate, and community projects. Schools and CSOs often act as the main sites of youth civic learning.</w:t>
      </w:r>
    </w:p>
    <w:p w:rsidR="00000000" w:rsidDel="00000000" w:rsidP="00000000" w:rsidRDefault="00000000" w:rsidRPr="00000000" w14:paraId="0000008E">
      <w:pPr>
        <w:spacing w:after="120" w:lineRule="auto"/>
        <w:ind w:firstLine="432"/>
        <w:rPr/>
      </w:pPr>
      <w:r w:rsidDel="00000000" w:rsidR="00000000" w:rsidRPr="00000000">
        <w:rPr>
          <w:rtl w:val="0"/>
        </w:rPr>
        <w:t xml:space="preserve">Several Georgian respondents described youth engagement as strongest when learning becomes practical. Teachers used simulated elections, student self-government, project-based learning, environmental campaigns, road safety awareness, and school clubs to move beyond textbook instruction. One teacher described a student-led project funded with 25,000 GEL to create a "Future Classroom" and improve access to safe drinking water. Another reported that students responded well to simulations and case-based activities because they turned abstract civic concepts into concrete experience.</w:t>
      </w:r>
    </w:p>
    <w:p w:rsidR="00000000" w:rsidDel="00000000" w:rsidP="00000000" w:rsidRDefault="00000000" w:rsidRPr="00000000" w14:paraId="0000008F">
      <w:pPr>
        <w:spacing w:after="120" w:lineRule="auto"/>
        <w:ind w:firstLine="432"/>
        <w:rPr/>
      </w:pPr>
      <w:r w:rsidDel="00000000" w:rsidR="00000000" w:rsidRPr="00000000">
        <w:rPr>
          <w:rtl w:val="0"/>
        </w:rPr>
        <w:t xml:space="preserve">CSO representative youth workers described similarly practice-oriented models. One organisation trained students as peer trainers and adapted materials into Armenian and Azerbaijani to respond to language barriers in non-Georgian-language schools. Another network described neutral dialogue spaces for citizens and political parties, while also financing youth-led community initiatives after training sessions. A third organisation described community centres in minority villages, preschool and youth activities, and programmes for ethnic Azerbaijani and Armenian youth. These examples show that Georgian civil society often performs functions that, in a more institutionalised system, would be partly carried by municipal youth services.</w:t>
      </w:r>
    </w:p>
    <w:p w:rsidR="00000000" w:rsidDel="00000000" w:rsidP="00000000" w:rsidRDefault="00000000" w:rsidRPr="00000000" w14:paraId="00000090">
      <w:pPr>
        <w:spacing w:after="120" w:lineRule="auto"/>
        <w:ind w:firstLine="432"/>
        <w:rPr/>
      </w:pPr>
      <w:r w:rsidDel="00000000" w:rsidR="00000000" w:rsidRPr="00000000">
        <w:rPr>
          <w:rtl w:val="0"/>
        </w:rPr>
        <w:t xml:space="preserve">The fragility of this model is equally clear. Respondents repeatedly referred to infrastructure gaps, lack of youth spaces, transportation problems, language barriers, uneven information flows, and weak institutional follow-up. In one focus group, a young participant stated: "In our city, we lack recreational spaces where we can gather and relax." A civic education teacher from a rural school similarly argued that young people need cinemas, theatres, parks, and youth spaces, not only sports fields and home-based entertainment. Such comments connect physical infrastructure to civic participation: without accessible spaces, young people have fewer opportunities to meet, organise, and sustain initiatives.</w:t>
      </w:r>
    </w:p>
    <w:p w:rsidR="00000000" w:rsidDel="00000000" w:rsidP="00000000" w:rsidRDefault="00000000" w:rsidRPr="00000000" w14:paraId="00000091">
      <w:pPr>
        <w:pStyle w:val="Heading2"/>
        <w:spacing w:after="80" w:lineRule="auto"/>
        <w:rPr/>
      </w:pPr>
      <w:r w:rsidDel="00000000" w:rsidR="00000000" w:rsidRPr="00000000">
        <w:rPr>
          <w:rtl w:val="0"/>
        </w:rPr>
        <w:t xml:space="preserve">5.3 Social Inclusion: Universal Provision and Targeted Responsiveness</w:t>
      </w:r>
    </w:p>
    <w:p w:rsidR="00000000" w:rsidDel="00000000" w:rsidP="00000000" w:rsidRDefault="00000000" w:rsidRPr="00000000" w14:paraId="00000092">
      <w:pPr>
        <w:spacing w:after="120" w:lineRule="auto"/>
        <w:ind w:firstLine="432"/>
        <w:rPr/>
      </w:pPr>
      <w:r w:rsidDel="00000000" w:rsidR="00000000" w:rsidRPr="00000000">
        <w:rPr>
          <w:rtl w:val="0"/>
        </w:rPr>
        <w:t xml:space="preserve">The comparison reveals two different inclusion logics. Estonia’s model is closer to universal public provision. Youth centres, municipal responsibilities, youth councils, and national planning create a system that is meant to be broadly available. This structure supports redistributive inclusion by making opportunities less dependent on family resources. Its open youth centres also support recognitional inclusion by providing relatively informal environments where young people can explore identities, interests, and relationships outside school and home.</w:t>
      </w:r>
    </w:p>
    <w:p w:rsidR="00000000" w:rsidDel="00000000" w:rsidP="00000000" w:rsidRDefault="00000000" w:rsidRPr="00000000" w14:paraId="00000093">
      <w:pPr>
        <w:spacing w:after="120" w:lineRule="auto"/>
        <w:ind w:firstLine="432"/>
        <w:rPr/>
      </w:pPr>
      <w:r w:rsidDel="00000000" w:rsidR="00000000" w:rsidRPr="00000000">
        <w:rPr>
          <w:rtl w:val="0"/>
        </w:rPr>
        <w:t xml:space="preserve">Yet Estonia’s universalism is not self-executing. Interviewees noted that young people with stronger family support, higher confidence, and better local resources may be more able to take advantage of youth councils, international projects, and organised activities. Rural municipalities may have fewer options, even where the formal mandate exists. This finding is consistent with the V-Dem urban-rural exclusion data: Estonia performs better than Georgia at national level, but national averages can mask local inequalities that matter for youth work practice.</w:t>
      </w:r>
    </w:p>
    <w:p w:rsidR="00000000" w:rsidDel="00000000" w:rsidP="00000000" w:rsidRDefault="00000000" w:rsidRPr="00000000" w14:paraId="00000094">
      <w:pPr>
        <w:spacing w:after="120" w:lineRule="auto"/>
        <w:ind w:firstLine="432"/>
        <w:rPr/>
      </w:pPr>
      <w:r w:rsidDel="00000000" w:rsidR="00000000" w:rsidRPr="00000000">
        <w:rPr>
          <w:rtl w:val="0"/>
        </w:rPr>
        <w:t xml:space="preserve">Georgia’s inclusion logic is more targeted and relational. CSOs often work deliberately with groups facing linguistic, ethnic, gendered, or rural exclusion. One respondent noted that implementing a project without ethnic minorities would be a serious weakness because the municipality’s population is largely minority. Another reported that around 80 percent of their participants came from ethnic minority backgrounds. These programmes can be culturally responsive in ways that standardised public provision may struggle to achieve, particularly when organisations adapt materials into minority languages or work through local trust networks.</w:t>
      </w:r>
    </w:p>
    <w:p w:rsidR="00000000" w:rsidDel="00000000" w:rsidP="00000000" w:rsidRDefault="00000000" w:rsidRPr="00000000" w14:paraId="00000095">
      <w:pPr>
        <w:spacing w:after="120" w:lineRule="auto"/>
        <w:ind w:firstLine="432"/>
        <w:rPr/>
      </w:pPr>
      <w:r w:rsidDel="00000000" w:rsidR="00000000" w:rsidRPr="00000000">
        <w:rPr>
          <w:rtl w:val="0"/>
        </w:rPr>
        <w:t xml:space="preserve">The limitation is that targeted responsiveness does not equal system-wide inclusion. Where access depends on a specific donor project, CSO, motivated teacher, or local leader, young people in neighbouring villages or less connected schools may be excluded. In social capital terms, Georgia’s model can generate strong bonding and bridging capital within particular communities, but weak linking capital to public institutions. Inclusion becomes meaningful but episodic, intense in some places and absent in others.</w:t>
      </w:r>
    </w:p>
    <w:p w:rsidR="00000000" w:rsidDel="00000000" w:rsidP="00000000" w:rsidRDefault="00000000" w:rsidRPr="00000000" w14:paraId="00000096">
      <w:pPr>
        <w:pStyle w:val="Heading2"/>
        <w:spacing w:after="80" w:lineRule="auto"/>
        <w:rPr/>
      </w:pPr>
      <w:r w:rsidDel="00000000" w:rsidR="00000000" w:rsidRPr="00000000">
        <w:rPr>
          <w:rtl w:val="0"/>
        </w:rPr>
        <w:t xml:space="preserve">5.4 Democratic Engagement: Formal Pathways and Informal Practice</w:t>
      </w:r>
    </w:p>
    <w:p w:rsidR="00000000" w:rsidDel="00000000" w:rsidP="00000000" w:rsidRDefault="00000000" w:rsidRPr="00000000" w14:paraId="00000097">
      <w:pPr>
        <w:spacing w:after="120" w:lineRule="auto"/>
        <w:ind w:firstLine="432"/>
        <w:rPr/>
      </w:pPr>
      <w:r w:rsidDel="00000000" w:rsidR="00000000" w:rsidRPr="00000000">
        <w:rPr>
          <w:rtl w:val="0"/>
        </w:rPr>
        <w:t xml:space="preserve">Estonia’s democratic engagement pathways are more formalised. Youth councils, school councils, municipal consultation, youth organisations, open youth centres, Erasmus+ projects, and the European Solidarity Corps provide young people with structured routes into participation. Respondents described these routes as varied, though not equally strong everywhere. One noted that youth councils can support young people to influence local government decisions, while another linked youth work to the development of political activity, civic voice, and later engagement in parties or public life.</w:t>
      </w:r>
    </w:p>
    <w:p w:rsidR="00000000" w:rsidDel="00000000" w:rsidP="00000000" w:rsidRDefault="00000000" w:rsidRPr="00000000" w14:paraId="00000098">
      <w:pPr>
        <w:spacing w:after="120" w:lineRule="auto"/>
        <w:ind w:firstLine="432"/>
        <w:rPr/>
      </w:pPr>
      <w:r w:rsidDel="00000000" w:rsidR="00000000" w:rsidRPr="00000000">
        <w:rPr>
          <w:rtl w:val="0"/>
        </w:rPr>
        <w:t xml:space="preserve">The Estonian case therefore demonstrates how youth work can generate linking capital. It connects young people to institutions of local and European governance and gives some of them repeated experience of consultation, advocacy, project design, and collective action. The risk is that linking capital may concentrate among the already engaged. This supports the article’s broader argument: formalisation creates pathways, but pathway existence is not the same as equitable pathway use.</w:t>
      </w:r>
    </w:p>
    <w:p w:rsidR="00000000" w:rsidDel="00000000" w:rsidP="00000000" w:rsidRDefault="00000000" w:rsidRPr="00000000" w14:paraId="00000099">
      <w:pPr>
        <w:spacing w:after="120" w:lineRule="auto"/>
        <w:ind w:firstLine="432"/>
        <w:rPr/>
      </w:pPr>
      <w:r w:rsidDel="00000000" w:rsidR="00000000" w:rsidRPr="00000000">
        <w:rPr>
          <w:rtl w:val="0"/>
        </w:rPr>
        <w:t xml:space="preserve">In Georgia, democratic engagement often emerges through informal or semi-formal channels rather than through a consolidated youth work system. School self-government, simulations, civic clubs, environmental projects, youth councils, volunteering, CSO trainings, and community campaigns offer meaningful participation experiences. However, these channels are unevenly institutionalised. Textbook coverage of youth councils and participatory budgeting was described as general rather than detailed, and several respondents pointed to weak municipal follow-up or non-transparent recruitment for youth councils.</w:t>
      </w:r>
    </w:p>
    <w:p w:rsidR="00000000" w:rsidDel="00000000" w:rsidP="00000000" w:rsidRDefault="00000000" w:rsidRPr="00000000" w14:paraId="0000009A">
      <w:pPr>
        <w:spacing w:after="120" w:lineRule="auto"/>
        <w:ind w:firstLine="432"/>
        <w:rPr/>
      </w:pPr>
      <w:r w:rsidDel="00000000" w:rsidR="00000000" w:rsidRPr="00000000">
        <w:rPr>
          <w:rtl w:val="0"/>
        </w:rPr>
        <w:t xml:space="preserve">The Georgian data also challenge a simple apathy narrative. Young people and practitioners described interest in civic issues, environmental concerns, local problems, gender equality, early marriage, education, and community improvement. A youth participant from the region said youth activities had become more frequent and even "a trend" in the region, although not everyone personally participated. The problem is therefore not merely motivational. It is institutional: opportunities exist, but they are fragmented, unevenly communicated, dependent on local networks, and weakly connected to decision-making authority.</w:t>
      </w:r>
    </w:p>
    <w:p w:rsidR="00000000" w:rsidDel="00000000" w:rsidP="00000000" w:rsidRDefault="00000000" w:rsidRPr="00000000" w14:paraId="0000009B">
      <w:pPr>
        <w:spacing w:after="120" w:lineRule="auto"/>
        <w:ind w:firstLine="432"/>
        <w:rPr/>
      </w:pPr>
      <w:r w:rsidDel="00000000" w:rsidR="00000000" w:rsidRPr="00000000">
        <w:rPr>
          <w:rtl w:val="0"/>
        </w:rPr>
        <w:t xml:space="preserve">This distinction matters for democracy research. Informal civic engagement can be rich in meaning but limited in institutional impact. In Georgia, CSOs and schools often help young people develop voice and civic competence, but the conversion of voice into policy influence remains weak. This pattern corresponds with the V-Dem power distribution indicator, where Georgia’s low score suggests that ordinary citizens, especially those with fewer socioeconomic resources, have limited influence over political decision-making. Youth work-like initiatives may therefore cultivate democratic agency without being able to guarantee democratic responsiveness.</w:t>
      </w:r>
    </w:p>
    <w:p w:rsidR="00000000" w:rsidDel="00000000" w:rsidP="00000000" w:rsidRDefault="00000000" w:rsidRPr="00000000" w14:paraId="0000009C">
      <w:pPr>
        <w:pStyle w:val="Heading1"/>
        <w:spacing w:after="120" w:before="240" w:lineRule="auto"/>
        <w:rPr/>
      </w:pPr>
      <w:r w:rsidDel="00000000" w:rsidR="00000000" w:rsidRPr="00000000">
        <w:rPr>
          <w:rtl w:val="0"/>
        </w:rPr>
        <w:t xml:space="preserve">6. Discussion</w:t>
      </w:r>
    </w:p>
    <w:p w:rsidR="00000000" w:rsidDel="00000000" w:rsidP="00000000" w:rsidRDefault="00000000" w:rsidRPr="00000000" w14:paraId="0000009D">
      <w:pPr>
        <w:spacing w:after="120" w:lineRule="auto"/>
        <w:ind w:firstLine="432"/>
        <w:rPr/>
      </w:pPr>
      <w:r w:rsidDel="00000000" w:rsidR="00000000" w:rsidRPr="00000000">
        <w:rPr>
          <w:rtl w:val="0"/>
        </w:rPr>
        <w:t xml:space="preserve">The comparison between Estonia and Georgia shows that youth work’s democratic significance depends not only on what youth work aims to do, but on how it is institutionally organised. Estonia demonstrates the value of statutory anchoring, municipal responsibility, professional infrastructure, and recurring participation pathways. Georgia demonstrates the value of grassroots responsiveness, culturally sensitive outreach, trust-based work with minority communities, and practical civic learning in schools and CSOs. Each model contains democratic strengths, and each contains limits.</w:t>
      </w:r>
    </w:p>
    <w:p w:rsidR="00000000" w:rsidDel="00000000" w:rsidP="00000000" w:rsidRDefault="00000000" w:rsidRPr="00000000" w14:paraId="0000009E">
      <w:pPr>
        <w:spacing w:after="120" w:lineRule="auto"/>
        <w:ind w:firstLine="432"/>
        <w:rPr/>
      </w:pPr>
      <w:r w:rsidDel="00000000" w:rsidR="00000000" w:rsidRPr="00000000">
        <w:rPr>
          <w:rtl w:val="0"/>
        </w:rPr>
        <w:t xml:space="preserve">From an ecological perspective, Estonia has stronger exosystemic scaffolding. Legal mandates, municipal provision, occupational standards, and educational pathways create a relatively stable environment for micro-level youth work practice. Georgia’s exosystemic support is weaker. Its most effective work often occurs at the micro and meso levels, through motivated teachers, local CSOs youth workers, community centres, and donor programmes. This produces local innovation, but also makes practice vulnerable to discontinuity.</w:t>
      </w:r>
    </w:p>
    <w:p w:rsidR="00000000" w:rsidDel="00000000" w:rsidP="00000000" w:rsidRDefault="00000000" w:rsidRPr="00000000" w14:paraId="0000009F">
      <w:pPr>
        <w:spacing w:after="120" w:lineRule="auto"/>
        <w:ind w:firstLine="432"/>
        <w:rPr/>
      </w:pPr>
      <w:r w:rsidDel="00000000" w:rsidR="00000000" w:rsidRPr="00000000">
        <w:rPr>
          <w:rtl w:val="0"/>
        </w:rPr>
        <w:t xml:space="preserve">Scott’s institutional pillars clarify the difference. Estonia has a developed regulative pillar and a relatively strong normative pillar, but its cultural-cognitive pillar remains incomplete because youth work is still not fully understood or valued by the wider public and some political actors. Georgia has policy-level normative aspirations, but weaker regulative enforcement, weaker professional infrastructure, and less public recognition of youth work as a distinct field. The Georgian problem is not simply that a law is missing. It is that the professional, municipal, financial, and cultural foundations that make law operational are still uneven.</w:t>
      </w:r>
    </w:p>
    <w:p w:rsidR="00000000" w:rsidDel="00000000" w:rsidP="00000000" w:rsidRDefault="00000000" w:rsidRPr="00000000" w14:paraId="000000A0">
      <w:pPr>
        <w:spacing w:after="120" w:lineRule="auto"/>
        <w:ind w:firstLine="432"/>
        <w:rPr/>
      </w:pPr>
      <w:r w:rsidDel="00000000" w:rsidR="00000000" w:rsidRPr="00000000">
        <w:rPr>
          <w:rtl w:val="0"/>
        </w:rPr>
        <w:t xml:space="preserve">Social capital theory further explains why the two models produce different democratic effects. Estonia’s model is better positioned to generate linking capital because youth councils and municipal mechanisms connect young people to public authority. Yet linking capital may be socially selective. Georgia’s model is strong in bonding and bridging capital because CSO and school initiatives build trust within and across communities, including ethnic minority communities. However, it is weaker in linking capital because youth initiatives often lack durable channels into formal decision-making. This is the central participation gap identified by the comparison.</w:t>
      </w:r>
    </w:p>
    <w:p w:rsidR="00000000" w:rsidDel="00000000" w:rsidP="00000000" w:rsidRDefault="00000000" w:rsidRPr="00000000" w14:paraId="000000A1">
      <w:pPr>
        <w:spacing w:after="120" w:lineRule="auto"/>
        <w:ind w:firstLine="432"/>
        <w:rPr/>
      </w:pPr>
      <w:r w:rsidDel="00000000" w:rsidR="00000000" w:rsidRPr="00000000">
        <w:rPr>
          <w:rtl w:val="0"/>
        </w:rPr>
        <w:t xml:space="preserve">These findings relate to Evolutionary Emancipation Theory in two ways. First, they support the argument that youth work may serve as an additional source of resources relevant to democratic agency, including knowledge, critical thinking, self-confidence, dialogue, empathy, and the ability to cooperate across difference. Second, they suggest that the process of youth work matters as much as its content. When young people experience voluntary participation, non-hierarchical interaction, practical problem-solving, and meaningful choice, autonomy and voice are not only taught. They are enacted.</w:t>
      </w:r>
    </w:p>
    <w:p w:rsidR="00000000" w:rsidDel="00000000" w:rsidP="00000000" w:rsidRDefault="00000000" w:rsidRPr="00000000" w14:paraId="000000A2">
      <w:pPr>
        <w:spacing w:after="120" w:lineRule="auto"/>
        <w:ind w:firstLine="432"/>
        <w:rPr/>
      </w:pPr>
      <w:r w:rsidDel="00000000" w:rsidR="00000000" w:rsidRPr="00000000">
        <w:rPr>
          <w:rtl w:val="0"/>
        </w:rPr>
        <w:t xml:space="preserve">The Georgian evidence adds an important qualification. Emancipative and democratic mechanisms can exist even in weakly institutionalised systems. A student-led environmental project, a minority-language civic training, a road safety campaign, a simulated election, or a youth group discussion can all produce democratic learning. The issue is accumulation. Without stable institutional anchoring, such experiences may remain isolated episodes rather than becoming part of a wider civic trajectory. The democratic question is therefore not whether grassroots youth work matters. It clearly does. The question is whether it can be made durable without losing its responsiveness.</w:t>
      </w:r>
    </w:p>
    <w:p w:rsidR="00000000" w:rsidDel="00000000" w:rsidP="00000000" w:rsidRDefault="00000000" w:rsidRPr="00000000" w14:paraId="000000A3">
      <w:pPr>
        <w:spacing w:after="120" w:lineRule="auto"/>
        <w:ind w:firstLine="432"/>
        <w:rPr/>
      </w:pPr>
      <w:r w:rsidDel="00000000" w:rsidR="00000000" w:rsidRPr="00000000">
        <w:rPr>
          <w:rtl w:val="0"/>
        </w:rPr>
        <w:t xml:space="preserve">The policy implication is a hybrid model. Estonia’s example suggests that legal recognition, municipal responsibility, professional standards, and public funding are necessary for continuity. Georgia’s example suggests that statutory systems must also be locally responsive, culturally sensitive, and capable of reaching communities facing linguistic, gendered, rural, or socioeconomic barriers. A post-Soviet youth work model oriented toward democratic engagement should therefore combine public anchoring with plural delivery, professionalisation with community trust, and formal participation pathways with everyday civic practice.</w:t>
      </w:r>
    </w:p>
    <w:p w:rsidR="00000000" w:rsidDel="00000000" w:rsidP="00000000" w:rsidRDefault="00000000" w:rsidRPr="00000000" w14:paraId="000000A4">
      <w:pPr>
        <w:spacing w:after="120" w:lineRule="auto"/>
        <w:ind w:firstLine="432"/>
        <w:rPr/>
      </w:pPr>
      <w:r w:rsidDel="00000000" w:rsidR="00000000" w:rsidRPr="00000000">
        <w:rPr>
          <w:rtl w:val="0"/>
        </w:rPr>
        <w:t xml:space="preserve">The article also has implications for democracy measurement. V-Dem and QoG indicators capture important structural conditions, such as exclusion, associational engagement, civic education, and power distribution. They are less able to capture the institutional ecosystems through which young people gradually learn civic agency. Youth work is one such ecosystem. It may affect democratic resilience long before its effects are visible in voting, protest, or trust indicators. Democracy research would therefore benefit from greater attention to meso-level infrastructures of civic formation, especially in post-communist contexts where formal institutions and lived democratic experience may diverge.</w:t>
      </w:r>
    </w:p>
    <w:p w:rsidR="00000000" w:rsidDel="00000000" w:rsidP="00000000" w:rsidRDefault="00000000" w:rsidRPr="00000000" w14:paraId="000000A5">
      <w:pPr>
        <w:pStyle w:val="Heading1"/>
        <w:spacing w:after="120" w:before="240" w:lineRule="auto"/>
        <w:rPr/>
      </w:pPr>
      <w:r w:rsidDel="00000000" w:rsidR="00000000" w:rsidRPr="00000000">
        <w:rPr>
          <w:rtl w:val="0"/>
        </w:rPr>
        <w:t xml:space="preserve">7. Conclusion</w:t>
      </w:r>
    </w:p>
    <w:p w:rsidR="00000000" w:rsidDel="00000000" w:rsidP="00000000" w:rsidRDefault="00000000" w:rsidRPr="00000000" w14:paraId="000000A6">
      <w:pPr>
        <w:spacing w:after="120" w:lineRule="auto"/>
        <w:ind w:firstLine="432"/>
        <w:rPr/>
      </w:pPr>
      <w:r w:rsidDel="00000000" w:rsidR="00000000" w:rsidRPr="00000000">
        <w:rPr>
          <w:rtl w:val="0"/>
        </w:rPr>
        <w:t xml:space="preserve">This article examined how different youth work systems shape democratic engagement in post-Soviet contexts. Comparing Estonia and Georgia, it argued that youth work matters for democracy not only because it may increase participation, but because it can function as a meso-level infrastructure of civic agency, inclusion, and democratic learning. The evidence shows that institutional design affects whether youth work opportunities become stable, accessible, cumulative, and connected to public decision-making.</w:t>
      </w:r>
    </w:p>
    <w:p w:rsidR="00000000" w:rsidDel="00000000" w:rsidP="00000000" w:rsidRDefault="00000000" w:rsidRPr="00000000" w14:paraId="000000A7">
      <w:pPr>
        <w:spacing w:after="120" w:lineRule="auto"/>
        <w:ind w:firstLine="432"/>
        <w:rPr/>
      </w:pPr>
      <w:r w:rsidDel="00000000" w:rsidR="00000000" w:rsidRPr="00000000">
        <w:rPr>
          <w:rtl w:val="0"/>
        </w:rPr>
        <w:t xml:space="preserve">Estonia demonstrates the democratic advantages of a legislatively anchored and municipally administered youth work system. Its youth centres, youth councils, professional pathways, and integration with educational policy create relatively durable participation environments. The findings further suggest that youth work may foster emancipative values consistent with Welzel’s Evolutionary Emancipation Theory (EET), including personal autonomy, personal choice, equality, and freedom of voice. They also indicate that youth work may function as an additional source of intellectual resources beyond formal education, while its voluntary, choice-based, and relatively egalitarian environment may itself serve as an emancipative mechanism. Yet the Estonian case also shows that formalisation does not automatically guarantee equitable reach or full public recognition. Municipal variation, rural limitations, and the selective accessibility of formal participation remain important challenges.</w:t>
      </w:r>
    </w:p>
    <w:p w:rsidR="00000000" w:rsidDel="00000000" w:rsidP="00000000" w:rsidRDefault="00000000" w:rsidRPr="00000000" w14:paraId="000000A8">
      <w:pPr>
        <w:spacing w:after="120" w:lineRule="auto"/>
        <w:ind w:firstLine="432"/>
        <w:rPr/>
      </w:pPr>
      <w:r w:rsidDel="00000000" w:rsidR="00000000" w:rsidRPr="00000000">
        <w:rPr>
          <w:rtl w:val="0"/>
        </w:rPr>
        <w:t xml:space="preserve">Georgia demonstrates the democratic value of civil society initiative and practice-oriented civic learning. Teachers, CSOs youth workers, youth groups, and donor-supported programmes create meaningful spaces of participation, especially in minority, rural, and locally underserved communities. Yet these spaces remain structurally fragile when they depend on temporary funding, individual initiative, weakly resourced schools, and inconsistent municipal engagement. Georgia’s challenge is therefore not the absence of youth agency, but the difficulty of embedding youth agency within durable institutions.</w:t>
      </w:r>
    </w:p>
    <w:p w:rsidR="00000000" w:rsidDel="00000000" w:rsidP="00000000" w:rsidRDefault="00000000" w:rsidRPr="00000000" w14:paraId="000000A9">
      <w:pPr>
        <w:spacing w:after="120" w:lineRule="auto"/>
        <w:ind w:firstLine="432"/>
        <w:rPr/>
      </w:pPr>
      <w:r w:rsidDel="00000000" w:rsidR="00000000" w:rsidRPr="00000000">
        <w:rPr>
          <w:rtl w:val="0"/>
        </w:rPr>
        <w:t xml:space="preserve">The broader implication is that post-Soviet democracies need hybrid youth work architectures. Public anchoring is necessary for continuity, equity, and legitimacy, but grassroots responsiveness is necessary for trust, recognition, and cultural fit. A youth work system that supports democratic engagement must therefore be both institutionally stable and socially embedded. It must create formal pathways to voice while also supporting the informal, relational, and community-based practices through which young people learn that participation is possible.</w:t>
      </w:r>
    </w:p>
    <w:p w:rsidR="00000000" w:rsidDel="00000000" w:rsidP="00000000" w:rsidRDefault="00000000" w:rsidRPr="00000000" w14:paraId="000000AA">
      <w:pPr>
        <w:spacing w:after="120" w:lineRule="auto"/>
        <w:ind w:firstLine="432"/>
        <w:rPr/>
      </w:pPr>
      <w:r w:rsidDel="00000000" w:rsidR="00000000" w:rsidRPr="00000000">
        <w:rPr>
          <w:rtl w:val="0"/>
        </w:rPr>
        <w:t xml:space="preserve">Future research should test these mechanisms through longitudinal designs that follow young people over time, comparative studies of municipalities within each country, and direct surveys or interviews with young people who participate and do not participate in youth work. Such research would help determine whether the institutional patterns identified here translate into durable differences in civic confidence, participatory behaviour, trust, and emancipative orientations. For now, the comparison offers a clear conclusion: democracy depends not only on institutions that count votes or guarantee rights, but also on institutions where young people learn to speak, cooperate, and act as civic agents.</w:t>
      </w:r>
    </w:p>
    <w:p w:rsidR="00000000" w:rsidDel="00000000" w:rsidP="00000000" w:rsidRDefault="00000000" w:rsidRPr="00000000" w14:paraId="000000AB">
      <w:pPr>
        <w:pStyle w:val="Heading1"/>
        <w:spacing w:after="120" w:before="240" w:lineRule="auto"/>
        <w:rPr/>
      </w:pPr>
      <w:r w:rsidDel="00000000" w:rsidR="00000000" w:rsidRPr="00000000">
        <w:rPr>
          <w:rtl w:val="0"/>
        </w:rPr>
        <w:t xml:space="preserve">References</w:t>
      </w:r>
    </w:p>
    <w:p w:rsidR="00000000" w:rsidDel="00000000" w:rsidP="00000000" w:rsidRDefault="00000000" w:rsidRPr="00000000" w14:paraId="000000AC">
      <w:pPr>
        <w:spacing w:after="120" w:lineRule="auto"/>
        <w:ind w:left="432" w:hanging="432"/>
        <w:rPr/>
      </w:pPr>
      <w:r w:rsidDel="00000000" w:rsidR="00000000" w:rsidRPr="00000000">
        <w:rPr>
          <w:rtl w:val="0"/>
        </w:rPr>
        <w:t xml:space="preserve">Batsleer, J., &amp; Davies, B. (Eds.). (2010). What is youth work? Learning Matters.</w:t>
      </w:r>
    </w:p>
    <w:p w:rsidR="00000000" w:rsidDel="00000000" w:rsidP="00000000" w:rsidRDefault="00000000" w:rsidRPr="00000000" w14:paraId="000000AD">
      <w:pPr>
        <w:spacing w:after="120" w:lineRule="auto"/>
        <w:ind w:left="432" w:hanging="432"/>
        <w:rPr/>
      </w:pPr>
      <w:r w:rsidDel="00000000" w:rsidR="00000000" w:rsidRPr="00000000">
        <w:rPr>
          <w:rtl w:val="0"/>
        </w:rPr>
        <w:t xml:space="preserve">Biesta, G. J. J. (2011). Learning democracy in school and society: Education, lifelong learning, and the politics of citizenship. Sense Publishers.</w:t>
      </w:r>
    </w:p>
    <w:p w:rsidR="00000000" w:rsidDel="00000000" w:rsidP="00000000" w:rsidRDefault="00000000" w:rsidRPr="00000000" w14:paraId="000000AE">
      <w:pPr>
        <w:spacing w:after="120" w:lineRule="auto"/>
        <w:ind w:left="432" w:hanging="432"/>
        <w:rPr/>
      </w:pPr>
      <w:r w:rsidDel="00000000" w:rsidR="00000000" w:rsidRPr="00000000">
        <w:rPr>
          <w:rtl w:val="0"/>
        </w:rPr>
        <w:t xml:space="preserve">Braun, V., &amp; Clarke, V. (2006). Using thematic analysis in psychology. Qualitative Research in Psychology, 3(2), 77-101. https://doi.org/10.1191/1478088706qp063oa</w:t>
      </w:r>
    </w:p>
    <w:p w:rsidR="00000000" w:rsidDel="00000000" w:rsidP="00000000" w:rsidRDefault="00000000" w:rsidRPr="00000000" w14:paraId="000000AF">
      <w:pPr>
        <w:spacing w:after="120" w:lineRule="auto"/>
        <w:ind w:left="432" w:hanging="432"/>
        <w:rPr/>
      </w:pPr>
      <w:r w:rsidDel="00000000" w:rsidR="00000000" w:rsidRPr="00000000">
        <w:rPr>
          <w:rtl w:val="0"/>
        </w:rPr>
        <w:t xml:space="preserve">Brinkmann, S., &amp; Kvale, S. (2015). InterViews: Learning the craft of qualitative research interviewing (3rd ed.). SAGE.</w:t>
      </w:r>
    </w:p>
    <w:p w:rsidR="00000000" w:rsidDel="00000000" w:rsidP="00000000" w:rsidRDefault="00000000" w:rsidRPr="00000000" w14:paraId="000000B0">
      <w:pPr>
        <w:spacing w:after="120" w:lineRule="auto"/>
        <w:ind w:left="432" w:hanging="432"/>
        <w:rPr/>
      </w:pPr>
      <w:r w:rsidDel="00000000" w:rsidR="00000000" w:rsidRPr="00000000">
        <w:rPr>
          <w:rtl w:val="0"/>
        </w:rPr>
        <w:t xml:space="preserve">Bronfenbrenner, U. (1979). The ecology of human development: Experiments by nature and design. Harvard University Press.</w:t>
      </w:r>
    </w:p>
    <w:p w:rsidR="00000000" w:rsidDel="00000000" w:rsidP="00000000" w:rsidRDefault="00000000" w:rsidRPr="00000000" w14:paraId="000000B1">
      <w:pPr>
        <w:spacing w:after="120" w:lineRule="auto"/>
        <w:ind w:left="432" w:hanging="432"/>
        <w:rPr/>
      </w:pPr>
      <w:r w:rsidDel="00000000" w:rsidR="00000000" w:rsidRPr="00000000">
        <w:rPr>
          <w:rtl w:val="0"/>
        </w:rPr>
        <w:t xml:space="preserve">Bryman, A. (2012). Social research methods (4th ed.). Oxford University Press.</w:t>
      </w:r>
    </w:p>
    <w:p w:rsidR="00000000" w:rsidDel="00000000" w:rsidP="00000000" w:rsidRDefault="00000000" w:rsidRPr="00000000" w14:paraId="000000B2">
      <w:pPr>
        <w:spacing w:after="120" w:lineRule="auto"/>
        <w:ind w:left="432" w:hanging="432"/>
        <w:rPr/>
      </w:pPr>
      <w:r w:rsidDel="00000000" w:rsidR="00000000" w:rsidRPr="00000000">
        <w:rPr>
          <w:rtl w:val="0"/>
        </w:rPr>
        <w:t xml:space="preserve">Charkviani, R. (2024). Supporting liberal democracy in post-Soviet countries by youth work (non-formal education for youth) through developing emancipative values in youth? The case of post-Soviet EU member Estonia (Master’s thesis, University of Gothenburg, Centre for European Studies).</w:t>
      </w:r>
    </w:p>
    <w:p w:rsidR="00000000" w:rsidDel="00000000" w:rsidP="00000000" w:rsidRDefault="00000000" w:rsidRPr="00000000" w14:paraId="000000B3">
      <w:pPr>
        <w:spacing w:after="120" w:lineRule="auto"/>
        <w:ind w:left="432" w:hanging="432"/>
        <w:rPr/>
      </w:pPr>
      <w:r w:rsidDel="00000000" w:rsidR="00000000" w:rsidRPr="00000000">
        <w:rPr>
          <w:rtl w:val="0"/>
        </w:rPr>
        <w:t xml:space="preserve">Coppedge, M., Gerring, J., Knutsen, C. H., Lindberg, S. I., Teorell, J., Alizada, N., Altman, D., Bernhard, M., Cornell, A., Fish, M. S., Gastaldi, L., Gjerlow, H., Glynn, A., Grahn, S., Hicken, A., Kinzelbach, K., Marquardt, K. L., McMann, K., Mechkova, V., . . . Ziblatt, D. (2023). V-Dem dataset v13. Varieties of Democracy (V-Dem) Project. https://doi.org/10.23696/vdemds23</w:t>
      </w:r>
    </w:p>
    <w:p w:rsidR="00000000" w:rsidDel="00000000" w:rsidP="00000000" w:rsidRDefault="00000000" w:rsidRPr="00000000" w14:paraId="000000B4">
      <w:pPr>
        <w:spacing w:after="120" w:lineRule="auto"/>
        <w:ind w:left="432" w:hanging="432"/>
        <w:rPr/>
      </w:pPr>
      <w:r w:rsidDel="00000000" w:rsidR="00000000" w:rsidRPr="00000000">
        <w:rPr>
          <w:rtl w:val="0"/>
        </w:rPr>
        <w:t xml:space="preserve">Council of Europe. (2017). Recommendation CM/Rec(2017)4 of the Committee of Ministers to member States on youth work. Council of Europe.</w:t>
      </w:r>
    </w:p>
    <w:p w:rsidR="00000000" w:rsidDel="00000000" w:rsidP="00000000" w:rsidRDefault="00000000" w:rsidRPr="00000000" w14:paraId="000000B5">
      <w:pPr>
        <w:spacing w:after="120" w:lineRule="auto"/>
        <w:ind w:left="432" w:hanging="432"/>
        <w:rPr/>
      </w:pPr>
      <w:r w:rsidDel="00000000" w:rsidR="00000000" w:rsidRPr="00000000">
        <w:rPr>
          <w:rtl w:val="0"/>
        </w:rPr>
        <w:t xml:space="preserve">Coussée, F., Williamson, H., &amp; Verschelden, G. (Eds.). (2010). The history of youth work in Europe: Relevance for today’s youth work policy. Council of Europe Publishing.</w:t>
      </w:r>
    </w:p>
    <w:p w:rsidR="00000000" w:rsidDel="00000000" w:rsidP="00000000" w:rsidRDefault="00000000" w:rsidRPr="00000000" w14:paraId="000000B6">
      <w:pPr>
        <w:spacing w:after="120" w:lineRule="auto"/>
        <w:ind w:left="432" w:hanging="432"/>
        <w:rPr/>
      </w:pPr>
      <w:r w:rsidDel="00000000" w:rsidR="00000000" w:rsidRPr="00000000">
        <w:rPr>
          <w:rtl w:val="0"/>
        </w:rPr>
        <w:t xml:space="preserve">Creswell, J. W., &amp; Poth, C. N. (2018). Qualitative inquiry and research design: Choosing among five approaches (4th ed.). SAGE.</w:t>
      </w:r>
    </w:p>
    <w:p w:rsidR="00000000" w:rsidDel="00000000" w:rsidP="00000000" w:rsidRDefault="00000000" w:rsidRPr="00000000" w14:paraId="000000B7">
      <w:pPr>
        <w:spacing w:after="120" w:lineRule="auto"/>
        <w:ind w:left="432" w:hanging="432"/>
        <w:rPr/>
      </w:pPr>
      <w:r w:rsidDel="00000000" w:rsidR="00000000" w:rsidRPr="00000000">
        <w:rPr>
          <w:rtl w:val="0"/>
        </w:rPr>
        <w:t xml:space="preserve">Devlin, M. (2017). Thinking about youth work in Ireland. In H. Schild, N. Connolly, F. Labadie, J. Vanhee, &amp; H. Williamson (Eds.), Thinking seriously about youth work (pp. 81-90). Council of Europe Publishing.</w:t>
      </w:r>
    </w:p>
    <w:p w:rsidR="00000000" w:rsidDel="00000000" w:rsidP="00000000" w:rsidRDefault="00000000" w:rsidRPr="00000000" w14:paraId="000000B8">
      <w:pPr>
        <w:spacing w:after="120" w:lineRule="auto"/>
        <w:ind w:left="432" w:hanging="432"/>
        <w:rPr/>
      </w:pPr>
      <w:r w:rsidDel="00000000" w:rsidR="00000000" w:rsidRPr="00000000">
        <w:rPr>
          <w:rtl w:val="0"/>
        </w:rPr>
        <w:t xml:space="preserve">Dunne, A., Ulicna, D., Murphy, I., &amp; Golubeva, M. (2014). Working with young people: The value of youth work in the European Union. European Commission.</w:t>
      </w:r>
    </w:p>
    <w:p w:rsidR="00000000" w:rsidDel="00000000" w:rsidP="00000000" w:rsidRDefault="00000000" w:rsidRPr="00000000" w14:paraId="000000B9">
      <w:pPr>
        <w:spacing w:after="120" w:lineRule="auto"/>
        <w:ind w:left="432" w:hanging="432"/>
        <w:rPr/>
      </w:pPr>
      <w:r w:rsidDel="00000000" w:rsidR="00000000" w:rsidRPr="00000000">
        <w:rPr>
          <w:rtl w:val="0"/>
        </w:rPr>
        <w:t xml:space="preserve">Ekman, J., &amp; Amnå, E. (2012). Political participation and civic engagement: Towards a new typology. Human Affairs, 22(3), 283-300. https://doi.org/10.2478/s13374-012-0024-1</w:t>
      </w:r>
    </w:p>
    <w:p w:rsidR="00000000" w:rsidDel="00000000" w:rsidP="00000000" w:rsidRDefault="00000000" w:rsidRPr="00000000" w14:paraId="000000BA">
      <w:pPr>
        <w:spacing w:after="120" w:lineRule="auto"/>
        <w:ind w:left="432" w:hanging="432"/>
        <w:rPr/>
      </w:pPr>
      <w:r w:rsidDel="00000000" w:rsidR="00000000" w:rsidRPr="00000000">
        <w:rPr>
          <w:rtl w:val="0"/>
        </w:rPr>
        <w:t xml:space="preserve">Europe Goes Local. (2024). Youth work/ers matter: Tbilisi, Georgia. Europe Goes Local Partnership.</w:t>
      </w:r>
    </w:p>
    <w:p w:rsidR="00000000" w:rsidDel="00000000" w:rsidP="00000000" w:rsidRDefault="00000000" w:rsidRPr="00000000" w14:paraId="000000BB">
      <w:pPr>
        <w:spacing w:after="120" w:lineRule="auto"/>
        <w:ind w:left="432" w:hanging="432"/>
        <w:rPr/>
      </w:pPr>
      <w:r w:rsidDel="00000000" w:rsidR="00000000" w:rsidRPr="00000000">
        <w:rPr>
          <w:rtl w:val="0"/>
        </w:rPr>
        <w:t xml:space="preserve">European Union. (2009). Council Resolution of 27 November 2009 on a renewed framework for European cooperation in the youth field (2010-2018). Official Journal of the European Union, C 311, 1-11.</w:t>
      </w:r>
    </w:p>
    <w:p w:rsidR="00000000" w:rsidDel="00000000" w:rsidP="00000000" w:rsidRDefault="00000000" w:rsidRPr="00000000" w14:paraId="000000BC">
      <w:pPr>
        <w:spacing w:after="120" w:lineRule="auto"/>
        <w:ind w:left="432" w:hanging="432"/>
        <w:rPr/>
      </w:pPr>
      <w:r w:rsidDel="00000000" w:rsidR="00000000" w:rsidRPr="00000000">
        <w:rPr>
          <w:rtl w:val="0"/>
        </w:rPr>
        <w:t xml:space="preserve">Fraser, N. (1997). Justice interruptus: Critical reflections on the "postsocialist" condition. Routledge.</w:t>
      </w:r>
    </w:p>
    <w:p w:rsidR="00000000" w:rsidDel="00000000" w:rsidP="00000000" w:rsidRDefault="00000000" w:rsidRPr="00000000" w14:paraId="000000BD">
      <w:pPr>
        <w:spacing w:after="120" w:lineRule="auto"/>
        <w:ind w:left="432" w:hanging="432"/>
        <w:rPr/>
      </w:pPr>
      <w:r w:rsidDel="00000000" w:rsidR="00000000" w:rsidRPr="00000000">
        <w:rPr>
          <w:rtl w:val="0"/>
        </w:rPr>
        <w:t xml:space="preserve">Goertz, G., &amp; Mahoney, J. (2012). A tale of two cultures: Qualitative and quantitative research in the social sciences. Princeton University Press.</w:t>
      </w:r>
    </w:p>
    <w:p w:rsidR="00000000" w:rsidDel="00000000" w:rsidP="00000000" w:rsidRDefault="00000000" w:rsidRPr="00000000" w14:paraId="000000BE">
      <w:pPr>
        <w:spacing w:after="120" w:lineRule="auto"/>
        <w:ind w:left="432" w:hanging="432"/>
        <w:rPr/>
      </w:pPr>
      <w:r w:rsidDel="00000000" w:rsidR="00000000" w:rsidRPr="00000000">
        <w:rPr>
          <w:rtl w:val="0"/>
        </w:rPr>
        <w:t xml:space="preserve">Inglehart, R., &amp; Welzel, C. (2005). Modernization, cultural change, and democracy: The human development sequence. Cambridge University Press.</w:t>
      </w:r>
    </w:p>
    <w:p w:rsidR="00000000" w:rsidDel="00000000" w:rsidP="00000000" w:rsidRDefault="00000000" w:rsidRPr="00000000" w14:paraId="000000BF">
      <w:pPr>
        <w:spacing w:after="120" w:lineRule="auto"/>
        <w:ind w:left="432" w:hanging="432"/>
        <w:rPr/>
      </w:pPr>
      <w:r w:rsidDel="00000000" w:rsidR="00000000" w:rsidRPr="00000000">
        <w:rPr>
          <w:rtl w:val="0"/>
        </w:rPr>
        <w:t xml:space="preserve">Kiilakoski, T. (2017). Youth work praxis in Finland. In H. Schild, N. Connolly, F. Labadie, J. Vanhee, &amp; H. Williamson (Eds.), Thinking seriously about youth work (pp. 53-62). Council of Europe Publishing.</w:t>
      </w:r>
    </w:p>
    <w:p w:rsidR="00000000" w:rsidDel="00000000" w:rsidP="00000000" w:rsidRDefault="00000000" w:rsidRPr="00000000" w14:paraId="000000C0">
      <w:pPr>
        <w:spacing w:after="120" w:lineRule="auto"/>
        <w:ind w:left="432" w:hanging="432"/>
        <w:rPr/>
      </w:pPr>
      <w:r w:rsidDel="00000000" w:rsidR="00000000" w:rsidRPr="00000000">
        <w:rPr>
          <w:rtl w:val="0"/>
        </w:rPr>
        <w:t xml:space="preserve">Krzaklewska, E. (2017). Youth work in Poland. In H. Schild, N. Connolly, F. Labadie, J. Vanhee, &amp; H. Williamson (Eds.), Thinking seriously about youth work (pp. 63-74). Council of Europe Publishing.</w:t>
      </w:r>
    </w:p>
    <w:p w:rsidR="00000000" w:rsidDel="00000000" w:rsidP="00000000" w:rsidRDefault="00000000" w:rsidRPr="00000000" w14:paraId="000000C1">
      <w:pPr>
        <w:spacing w:after="120" w:lineRule="auto"/>
        <w:ind w:left="432" w:hanging="432"/>
        <w:rPr/>
      </w:pPr>
      <w:r w:rsidDel="00000000" w:rsidR="00000000" w:rsidRPr="00000000">
        <w:rPr>
          <w:rtl w:val="0"/>
        </w:rPr>
        <w:t xml:space="preserve">Morciano, D. (2015). Evaluating outcomes and mechanisms of non-formal education in youth centres. Italian Journal of Sociology of Education, 7(1), 67-96.</w:t>
      </w:r>
    </w:p>
    <w:p w:rsidR="00000000" w:rsidDel="00000000" w:rsidP="00000000" w:rsidRDefault="00000000" w:rsidRPr="00000000" w14:paraId="000000C2">
      <w:pPr>
        <w:spacing w:after="120" w:lineRule="auto"/>
        <w:ind w:left="432" w:hanging="432"/>
        <w:rPr/>
      </w:pPr>
      <w:r w:rsidDel="00000000" w:rsidR="00000000" w:rsidRPr="00000000">
        <w:rPr>
          <w:rtl w:val="0"/>
        </w:rPr>
        <w:t xml:space="preserve">Norris, P. (2011). Democratic deficit: Critical citizens revisited. Cambridge University Press.</w:t>
      </w:r>
    </w:p>
    <w:p w:rsidR="00000000" w:rsidDel="00000000" w:rsidP="00000000" w:rsidRDefault="00000000" w:rsidRPr="00000000" w14:paraId="000000C3">
      <w:pPr>
        <w:spacing w:after="120" w:lineRule="auto"/>
        <w:ind w:left="432" w:hanging="432"/>
        <w:rPr/>
      </w:pPr>
      <w:r w:rsidDel="00000000" w:rsidR="00000000" w:rsidRPr="00000000">
        <w:rPr>
          <w:rtl w:val="0"/>
        </w:rPr>
        <w:t xml:space="preserve">Ord, J. (2016). Youth work process, product and practice: Creating an authentic curriculum in work with young people (2nd ed.). Routledge.</w:t>
      </w:r>
    </w:p>
    <w:p w:rsidR="00000000" w:rsidDel="00000000" w:rsidP="00000000" w:rsidRDefault="00000000" w:rsidRPr="00000000" w14:paraId="000000C4">
      <w:pPr>
        <w:spacing w:after="120" w:lineRule="auto"/>
        <w:ind w:left="432" w:hanging="432"/>
        <w:rPr/>
      </w:pPr>
      <w:r w:rsidDel="00000000" w:rsidR="00000000" w:rsidRPr="00000000">
        <w:rPr>
          <w:rtl w:val="0"/>
        </w:rPr>
        <w:t xml:space="preserve">Petrivska, E. (2017). Youth policy in Eastern Europe and the Caucasus. In H. Schild, N. Connolly, F. Labadie, J. Vanhee, &amp; H. Williamson (Eds.), Thinking seriously about youth work (pp. 39-52). Council of Europe Publishing.</w:t>
      </w:r>
    </w:p>
    <w:p w:rsidR="00000000" w:rsidDel="00000000" w:rsidP="00000000" w:rsidRDefault="00000000" w:rsidRPr="00000000" w14:paraId="000000C5">
      <w:pPr>
        <w:spacing w:after="120" w:lineRule="auto"/>
        <w:ind w:left="432" w:hanging="432"/>
        <w:rPr/>
      </w:pPr>
      <w:r w:rsidDel="00000000" w:rsidR="00000000" w:rsidRPr="00000000">
        <w:rPr>
          <w:rtl w:val="0"/>
        </w:rPr>
        <w:t xml:space="preserve">Putnam, R. D. (1995). Bowling alone: America’s declining social capital. Journal of Democracy, 6(1), 65-78. https://doi.org/10.1353/jod.1995.0002</w:t>
      </w:r>
    </w:p>
    <w:p w:rsidR="00000000" w:rsidDel="00000000" w:rsidP="00000000" w:rsidRDefault="00000000" w:rsidRPr="00000000" w14:paraId="000000C6">
      <w:pPr>
        <w:spacing w:after="120" w:lineRule="auto"/>
        <w:ind w:left="432" w:hanging="432"/>
        <w:rPr/>
      </w:pPr>
      <w:r w:rsidDel="00000000" w:rsidR="00000000" w:rsidRPr="00000000">
        <w:rPr>
          <w:rtl w:val="0"/>
        </w:rPr>
        <w:t xml:space="preserve">Redig, G., &amp; Coussée, F. (2017). Youth work in Flanders: Playful usefulness and useful playfulness. In H. Schild, N. Connolly, F. Labadie, J. Vanhee, &amp; H. Williamson (Eds.), Thinking seriously about youth work (pp. 27-38). Council of Europe Publishing.</w:t>
      </w:r>
    </w:p>
    <w:p w:rsidR="00000000" w:rsidDel="00000000" w:rsidP="00000000" w:rsidRDefault="00000000" w:rsidRPr="00000000" w14:paraId="000000C7">
      <w:pPr>
        <w:spacing w:after="120" w:lineRule="auto"/>
        <w:ind w:left="432" w:hanging="432"/>
        <w:rPr/>
      </w:pPr>
      <w:r w:rsidDel="00000000" w:rsidR="00000000" w:rsidRPr="00000000">
        <w:rPr>
          <w:rtl w:val="0"/>
        </w:rPr>
        <w:t xml:space="preserve">Schild, H., Connolly, N., Labadie, F., &amp; Vanhee, J. (Eds.). (2017). Thinking seriously about youth work: And how to prepare people to do it. Council of Europe Publishing.</w:t>
      </w:r>
    </w:p>
    <w:p w:rsidR="00000000" w:rsidDel="00000000" w:rsidP="00000000" w:rsidRDefault="00000000" w:rsidRPr="00000000" w14:paraId="000000C8">
      <w:pPr>
        <w:spacing w:after="120" w:lineRule="auto"/>
        <w:ind w:left="432" w:hanging="432"/>
        <w:rPr/>
      </w:pPr>
      <w:r w:rsidDel="00000000" w:rsidR="00000000" w:rsidRPr="00000000">
        <w:rPr>
          <w:rtl w:val="0"/>
        </w:rPr>
        <w:t xml:space="preserve">Scott, W. R. (2014). Institutions and organizations: Ideas, interests, and identities (4th ed.). SAGE.</w:t>
      </w:r>
    </w:p>
    <w:p w:rsidR="00000000" w:rsidDel="00000000" w:rsidP="00000000" w:rsidRDefault="00000000" w:rsidRPr="00000000" w14:paraId="000000C9">
      <w:pPr>
        <w:spacing w:after="120" w:lineRule="auto"/>
        <w:ind w:left="432" w:hanging="432"/>
        <w:rPr/>
      </w:pPr>
      <w:r w:rsidDel="00000000" w:rsidR="00000000" w:rsidRPr="00000000">
        <w:rPr>
          <w:rtl w:val="0"/>
        </w:rPr>
        <w:t xml:space="preserve">Teorell, J., Sundström, A., Holmberg, S., Rothstein, B., Alvarado Pachon, N., &amp; Dalli, C. M. (2023). The Quality of Government Standard Dataset, version Jan23. University of Gothenburg: The Quality of Government Institute. https://doi.org/10.18157/qogstdjan23</w:t>
      </w:r>
    </w:p>
    <w:p w:rsidR="00000000" w:rsidDel="00000000" w:rsidP="00000000" w:rsidRDefault="00000000" w:rsidRPr="00000000" w14:paraId="000000CA">
      <w:pPr>
        <w:spacing w:after="120" w:lineRule="auto"/>
        <w:ind w:left="432" w:hanging="432"/>
        <w:rPr/>
      </w:pPr>
      <w:r w:rsidDel="00000000" w:rsidR="00000000" w:rsidRPr="00000000">
        <w:rPr>
          <w:rtl w:val="0"/>
        </w:rPr>
        <w:t xml:space="preserve">UN DESA. (2016). Leaving no one behind: The imperative of inclusive development. Report on the world social situation. United Nations.</w:t>
      </w:r>
    </w:p>
    <w:p w:rsidR="00000000" w:rsidDel="00000000" w:rsidP="00000000" w:rsidRDefault="00000000" w:rsidRPr="00000000" w14:paraId="000000CB">
      <w:pPr>
        <w:spacing w:after="120" w:lineRule="auto"/>
        <w:ind w:left="432" w:hanging="432"/>
        <w:rPr/>
      </w:pPr>
      <w:r w:rsidDel="00000000" w:rsidR="00000000" w:rsidRPr="00000000">
        <w:rPr>
          <w:rtl w:val="0"/>
        </w:rPr>
        <w:t xml:space="preserve">Welzel, C. (2013). Freedom rising: Human empowerment and the quest for emancipation. Cambridge University Press.</w:t>
      </w:r>
    </w:p>
    <w:p w:rsidR="00000000" w:rsidDel="00000000" w:rsidP="00000000" w:rsidRDefault="00000000" w:rsidRPr="00000000" w14:paraId="000000CC">
      <w:pPr>
        <w:spacing w:after="120" w:lineRule="auto"/>
        <w:ind w:left="432" w:hanging="432"/>
        <w:rPr/>
      </w:pPr>
      <w:r w:rsidDel="00000000" w:rsidR="00000000" w:rsidRPr="00000000">
        <w:rPr>
          <w:rtl w:val="0"/>
        </w:rPr>
        <w:t xml:space="preserve">Welzel, C. (2021). Why the future is democratic. Routledge.</w:t>
      </w:r>
    </w:p>
    <w:p w:rsidR="00000000" w:rsidDel="00000000" w:rsidP="00000000" w:rsidRDefault="00000000" w:rsidRPr="00000000" w14:paraId="000000CD">
      <w:pPr>
        <w:spacing w:after="120" w:lineRule="auto"/>
        <w:ind w:left="432" w:hanging="432"/>
        <w:rPr/>
      </w:pPr>
      <w:r w:rsidDel="00000000" w:rsidR="00000000" w:rsidRPr="00000000">
        <w:rPr>
          <w:rtl w:val="0"/>
        </w:rPr>
        <w:t xml:space="preserve">Westheimer, J., &amp; Kahne, J. (2004). What kind of citizen? The politics of educating for democracy. American Educational Research Journal, 41(2), 237-269.</w:t>
      </w:r>
    </w:p>
    <w:p w:rsidR="00000000" w:rsidDel="00000000" w:rsidP="00000000" w:rsidRDefault="00000000" w:rsidRPr="00000000" w14:paraId="000000CE">
      <w:pPr>
        <w:spacing w:after="120" w:lineRule="auto"/>
        <w:ind w:left="432" w:hanging="432"/>
        <w:rPr/>
      </w:pPr>
      <w:r w:rsidDel="00000000" w:rsidR="00000000" w:rsidRPr="00000000">
        <w:rPr>
          <w:rtl w:val="0"/>
        </w:rPr>
        <w:t xml:space="preserve">Williamson, H. (2017). Finding common ground: Mapping and scanning the horizons for European youth work in the 21st century. In H. Schild, N. Connolly, F. Labadie, J. Vanhee, &amp; H. Williamson (Eds.), Thinking seriously about youth work (pp. 15-26). Council of Europe Publishing.</w:t>
      </w:r>
    </w:p>
    <w:p w:rsidR="00000000" w:rsidDel="00000000" w:rsidP="00000000" w:rsidRDefault="00000000" w:rsidRPr="00000000" w14:paraId="000000CF">
      <w:pPr>
        <w:spacing w:after="120" w:lineRule="auto"/>
        <w:ind w:left="432" w:hanging="432"/>
        <w:rPr/>
      </w:pPr>
      <w:r w:rsidDel="00000000" w:rsidR="00000000" w:rsidRPr="00000000">
        <w:rPr>
          <w:rtl w:val="0"/>
        </w:rPr>
        <w:t xml:space="preserve">Woolcock, M. (2001). The place of social capital in understanding social and economic outcomes. Canadian Journal of Policy Research, 2(1), 11-17.</w:t>
      </w:r>
    </w:p>
    <w:p w:rsidR="00000000" w:rsidDel="00000000" w:rsidP="00000000" w:rsidRDefault="00000000" w:rsidRPr="00000000" w14:paraId="000000D0">
      <w:pPr>
        <w:spacing w:after="120" w:lineRule="auto"/>
        <w:ind w:left="432" w:hanging="432"/>
        <w:rPr/>
      </w:pPr>
      <w:r w:rsidDel="00000000" w:rsidR="00000000" w:rsidRPr="00000000">
        <w:rPr>
          <w:rtl w:val="0"/>
        </w:rPr>
        <w:t xml:space="preserve">Youth Wiki. (2023). Estonia: Youth work. Youth Wiki: Europe’s encyclopedia of national youth policies. European Commission.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13EKP5aUlzsyYbieyRL8xT7wTg==">CgMxLjAyDmguNnRlN2h6dzJtaGc5OAByITFyWEJGWDZjRVVrUEdLQWNVVlY2S0t6V0tVcm9VNXozUw==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